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10067684"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2E660A">
        <w:rPr>
          <w:rFonts w:asciiTheme="minorHAnsi" w:hAnsiTheme="minorHAnsi" w:cstheme="minorHAnsi"/>
          <w:b/>
          <w:bCs/>
          <w:sz w:val="28"/>
          <w:szCs w:val="28"/>
        </w:rPr>
        <w:t>13</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B8281F">
        <w:rPr>
          <w:rFonts w:asciiTheme="minorHAnsi" w:hAnsiTheme="minorHAnsi" w:cstheme="minorHAnsi"/>
          <w:b/>
          <w:bCs/>
          <w:sz w:val="28"/>
          <w:szCs w:val="28"/>
        </w:rPr>
        <w:t>9</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A868A4">
      <w:pPr>
        <w:pStyle w:val="Sangradetextonormal"/>
        <w:numPr>
          <w:ilvl w:val="1"/>
          <w:numId w:val="9"/>
        </w:numPr>
        <w:tabs>
          <w:tab w:val="left" w:pos="360"/>
        </w:tabs>
        <w:ind w:left="709"/>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200F9DB6"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6A26FC">
        <w:rPr>
          <w:rFonts w:asciiTheme="minorHAnsi" w:hAnsiTheme="minorHAnsi" w:cstheme="minorHAnsi"/>
          <w:sz w:val="22"/>
          <w:szCs w:val="22"/>
        </w:rPr>
        <w:t>06</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6A26FC">
        <w:rPr>
          <w:rFonts w:asciiTheme="minorHAnsi" w:hAnsiTheme="minorHAnsi" w:cstheme="minorHAnsi"/>
          <w:sz w:val="22"/>
          <w:szCs w:val="22"/>
        </w:rPr>
        <w:t>9</w:t>
      </w:r>
      <w:r w:rsidR="00706F37">
        <w:rPr>
          <w:rFonts w:asciiTheme="minorHAnsi" w:hAnsiTheme="minorHAnsi" w:cstheme="minorHAnsi"/>
          <w:sz w:val="22"/>
          <w:szCs w:val="22"/>
        </w:rPr>
        <w:t>.2021</w:t>
      </w:r>
      <w:r w:rsidRPr="00271C1D">
        <w:rPr>
          <w:rFonts w:asciiTheme="minorHAnsi" w:hAnsiTheme="minorHAnsi" w:cstheme="minorHAnsi"/>
          <w:sz w:val="22"/>
          <w:szCs w:val="22"/>
        </w:rPr>
        <w:t xml:space="preserve"> al </w:t>
      </w:r>
      <w:r w:rsidR="006A26FC">
        <w:rPr>
          <w:rFonts w:asciiTheme="minorHAnsi" w:hAnsiTheme="minorHAnsi" w:cstheme="minorHAnsi"/>
          <w:sz w:val="22"/>
          <w:szCs w:val="22"/>
        </w:rPr>
        <w:t>10</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2207D1">
        <w:rPr>
          <w:rFonts w:asciiTheme="minorHAnsi" w:hAnsiTheme="minorHAnsi" w:cstheme="minorHAnsi"/>
          <w:sz w:val="22"/>
          <w:szCs w:val="22"/>
        </w:rPr>
        <w:t>9</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167750">
        <w:rPr>
          <w:rFonts w:asciiTheme="minorHAnsi" w:hAnsiTheme="minorHAnsi" w:cstheme="minorHAnsi"/>
          <w:sz w:val="22"/>
          <w:szCs w:val="22"/>
        </w:rPr>
        <w:t>74.50</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 xml:space="preserve">US$/Bl, </w:t>
      </w:r>
      <w:r w:rsidR="00167750">
        <w:rPr>
          <w:rFonts w:asciiTheme="minorHAnsi" w:hAnsiTheme="minorHAnsi" w:cstheme="minorHAnsi"/>
          <w:sz w:val="22"/>
          <w:szCs w:val="22"/>
        </w:rPr>
        <w:t>disminuye</w:t>
      </w:r>
      <w:r w:rsidR="00706F37">
        <w:rPr>
          <w:rFonts w:asciiTheme="minorHAnsi" w:hAnsiTheme="minorHAnsi" w:cstheme="minorHAnsi"/>
          <w:sz w:val="22"/>
          <w:szCs w:val="22"/>
        </w:rPr>
        <w:t xml:space="preserve">ndo en </w:t>
      </w:r>
      <w:r w:rsidR="00167750">
        <w:rPr>
          <w:rFonts w:asciiTheme="minorHAnsi" w:hAnsiTheme="minorHAnsi" w:cstheme="minorHAnsi"/>
          <w:sz w:val="22"/>
          <w:szCs w:val="22"/>
        </w:rPr>
        <w:t>0.42</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167750">
        <w:rPr>
          <w:rFonts w:asciiTheme="minorHAnsi" w:hAnsiTheme="minorHAnsi" w:cstheme="minorHAnsi"/>
          <w:sz w:val="22"/>
          <w:szCs w:val="22"/>
        </w:rPr>
        <w:t>0.56</w:t>
      </w:r>
      <w:r w:rsidRPr="00271C1D">
        <w:rPr>
          <w:rFonts w:asciiTheme="minorHAnsi" w:hAnsiTheme="minorHAnsi" w:cstheme="minorHAnsi"/>
          <w:sz w:val="22"/>
          <w:szCs w:val="22"/>
        </w:rPr>
        <w:t>%) con relación al precio promedio del periodo previo.</w:t>
      </w:r>
    </w:p>
    <w:p w14:paraId="758DD1CE" w14:textId="66A749EB" w:rsidR="008825CF" w:rsidRDefault="008126CB" w:rsidP="000E16A0">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w:t>
      </w:r>
      <w:r w:rsidR="000E16A0">
        <w:rPr>
          <w:rFonts w:asciiTheme="minorHAnsi" w:hAnsiTheme="minorHAnsi" w:cstheme="minorHAnsi"/>
          <w:sz w:val="22"/>
          <w:szCs w:val="22"/>
        </w:rPr>
        <w:t>promedio de la Gasolina CBOB</w:t>
      </w:r>
      <w:r w:rsidR="000E16A0">
        <w:rPr>
          <w:rStyle w:val="Refdenotaalpie"/>
          <w:rFonts w:asciiTheme="minorHAnsi" w:hAnsiTheme="minorHAnsi" w:cstheme="minorHAnsi"/>
          <w:sz w:val="22"/>
          <w:szCs w:val="22"/>
        </w:rPr>
        <w:footnoteReference w:id="2"/>
      </w:r>
      <w:r w:rsidR="00F605CC">
        <w:rPr>
          <w:rFonts w:asciiTheme="minorHAnsi" w:hAnsiTheme="minorHAnsi" w:cstheme="minorHAnsi"/>
          <w:sz w:val="22"/>
          <w:szCs w:val="22"/>
        </w:rPr>
        <w:t xml:space="preserve"> 87 </w:t>
      </w:r>
      <w:r w:rsidR="00167750">
        <w:rPr>
          <w:rFonts w:asciiTheme="minorHAnsi" w:hAnsiTheme="minorHAnsi" w:cstheme="minorHAnsi"/>
          <w:sz w:val="22"/>
          <w:szCs w:val="22"/>
        </w:rPr>
        <w:t>baj</w:t>
      </w:r>
      <w:r w:rsidR="00F605CC">
        <w:rPr>
          <w:rFonts w:asciiTheme="minorHAnsi" w:hAnsiTheme="minorHAnsi" w:cstheme="minorHAnsi"/>
          <w:sz w:val="22"/>
          <w:szCs w:val="22"/>
        </w:rPr>
        <w:t>ó</w:t>
      </w:r>
      <w:r w:rsidRPr="00271C1D">
        <w:rPr>
          <w:rFonts w:asciiTheme="minorHAnsi" w:hAnsiTheme="minorHAnsi" w:cstheme="minorHAnsi"/>
          <w:sz w:val="22"/>
          <w:szCs w:val="22"/>
        </w:rPr>
        <w:t xml:space="preserve"> </w:t>
      </w:r>
      <w:r w:rsidR="00167750">
        <w:rPr>
          <w:rFonts w:asciiTheme="minorHAnsi" w:hAnsiTheme="minorHAnsi" w:cstheme="minorHAnsi"/>
          <w:sz w:val="22"/>
          <w:szCs w:val="22"/>
        </w:rPr>
        <w:t>1.36</w:t>
      </w:r>
      <w:r w:rsidR="00EE6661">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167750">
        <w:rPr>
          <w:rFonts w:asciiTheme="minorHAnsi" w:hAnsiTheme="minorHAnsi" w:cstheme="minorHAnsi"/>
          <w:sz w:val="22"/>
          <w:szCs w:val="22"/>
        </w:rPr>
        <w:t>1.48</w:t>
      </w:r>
      <w:r w:rsidRPr="00271C1D">
        <w:rPr>
          <w:rFonts w:asciiTheme="minorHAnsi" w:hAnsiTheme="minorHAnsi" w:cstheme="minorHAnsi"/>
          <w:sz w:val="22"/>
          <w:szCs w:val="22"/>
        </w:rPr>
        <w:t>%), la co</w:t>
      </w:r>
      <w:r w:rsidR="000E16A0">
        <w:rPr>
          <w:rFonts w:asciiTheme="minorHAnsi" w:hAnsiTheme="minorHAnsi" w:cstheme="minorHAnsi"/>
          <w:sz w:val="22"/>
          <w:szCs w:val="22"/>
        </w:rPr>
        <w:t>tización de la Gasolina UNL 87</w:t>
      </w:r>
      <w:r w:rsidR="00297747" w:rsidRPr="00271C1D">
        <w:rPr>
          <w:rFonts w:asciiTheme="minorHAnsi" w:hAnsiTheme="minorHAnsi" w:cstheme="minorHAnsi"/>
          <w:sz w:val="22"/>
          <w:szCs w:val="22"/>
        </w:rPr>
        <w:t xml:space="preserve"> </w:t>
      </w:r>
      <w:r w:rsidR="00167750">
        <w:rPr>
          <w:rFonts w:asciiTheme="minorHAnsi" w:hAnsiTheme="minorHAnsi" w:cstheme="minorHAnsi"/>
          <w:sz w:val="22"/>
          <w:szCs w:val="22"/>
        </w:rPr>
        <w:t>cay</w:t>
      </w:r>
      <w:r w:rsidR="0059697B">
        <w:rPr>
          <w:rFonts w:asciiTheme="minorHAnsi" w:hAnsiTheme="minorHAnsi" w:cstheme="minorHAnsi"/>
          <w:sz w:val="22"/>
          <w:szCs w:val="22"/>
        </w:rPr>
        <w:t>ó</w:t>
      </w:r>
      <w:r w:rsidR="00E57128" w:rsidRPr="00271C1D">
        <w:rPr>
          <w:rFonts w:asciiTheme="minorHAnsi" w:hAnsiTheme="minorHAnsi" w:cstheme="minorHAnsi"/>
          <w:sz w:val="22"/>
          <w:szCs w:val="22"/>
        </w:rPr>
        <w:t xml:space="preserve"> </w:t>
      </w:r>
      <w:r w:rsidR="00167750">
        <w:rPr>
          <w:rFonts w:asciiTheme="minorHAnsi" w:hAnsiTheme="minorHAnsi" w:cstheme="minorHAnsi"/>
          <w:sz w:val="22"/>
          <w:szCs w:val="22"/>
        </w:rPr>
        <w:t>0.72</w:t>
      </w:r>
      <w:r w:rsidR="002207D1">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167750">
        <w:rPr>
          <w:rFonts w:asciiTheme="minorHAnsi" w:hAnsiTheme="minorHAnsi" w:cstheme="minorHAnsi"/>
          <w:sz w:val="22"/>
          <w:szCs w:val="22"/>
        </w:rPr>
        <w:t>0.74</w:t>
      </w:r>
      <w:r w:rsidRPr="00271C1D">
        <w:rPr>
          <w:rFonts w:asciiTheme="minorHAnsi" w:hAnsiTheme="minorHAnsi" w:cstheme="minorHAnsi"/>
          <w:sz w:val="22"/>
          <w:szCs w:val="22"/>
        </w:rPr>
        <w:t>%)</w:t>
      </w:r>
      <w:r w:rsidR="008825CF">
        <w:rPr>
          <w:rFonts w:asciiTheme="minorHAnsi" w:hAnsiTheme="minorHAnsi" w:cstheme="minorHAnsi"/>
          <w:sz w:val="22"/>
          <w:szCs w:val="22"/>
        </w:rPr>
        <w:t>, mientras que el prec</w:t>
      </w:r>
      <w:r w:rsidR="00F605CC">
        <w:rPr>
          <w:rFonts w:asciiTheme="minorHAnsi" w:hAnsiTheme="minorHAnsi" w:cstheme="minorHAnsi"/>
          <w:sz w:val="22"/>
          <w:szCs w:val="22"/>
        </w:rPr>
        <w:t xml:space="preserve">io de la Gasolina UNL 93 </w:t>
      </w:r>
      <w:r w:rsidR="00167750">
        <w:rPr>
          <w:rFonts w:asciiTheme="minorHAnsi" w:hAnsiTheme="minorHAnsi" w:cstheme="minorHAnsi"/>
          <w:sz w:val="22"/>
          <w:szCs w:val="22"/>
        </w:rPr>
        <w:t>disminuy</w:t>
      </w:r>
      <w:r w:rsidR="00F605CC">
        <w:rPr>
          <w:rFonts w:asciiTheme="minorHAnsi" w:hAnsiTheme="minorHAnsi" w:cstheme="minorHAnsi"/>
          <w:sz w:val="22"/>
          <w:szCs w:val="22"/>
        </w:rPr>
        <w:t xml:space="preserve">ó </w:t>
      </w:r>
      <w:r w:rsidR="00167750">
        <w:rPr>
          <w:rFonts w:asciiTheme="minorHAnsi" w:hAnsiTheme="minorHAnsi" w:cstheme="minorHAnsi"/>
          <w:sz w:val="22"/>
          <w:szCs w:val="22"/>
        </w:rPr>
        <w:t>1.36</w:t>
      </w:r>
      <w:r w:rsidR="00F605CC">
        <w:rPr>
          <w:rFonts w:asciiTheme="minorHAnsi" w:hAnsiTheme="minorHAnsi" w:cstheme="minorHAnsi"/>
          <w:sz w:val="22"/>
          <w:szCs w:val="22"/>
        </w:rPr>
        <w:t xml:space="preserve"> US$/Bl (</w:t>
      </w:r>
      <w:r w:rsidR="00167750">
        <w:rPr>
          <w:rFonts w:asciiTheme="minorHAnsi" w:hAnsiTheme="minorHAnsi" w:cstheme="minorHAnsi"/>
          <w:sz w:val="22"/>
          <w:szCs w:val="22"/>
        </w:rPr>
        <w:t>1.47</w:t>
      </w:r>
      <w:r w:rsidR="008825CF">
        <w:rPr>
          <w:rFonts w:asciiTheme="minorHAnsi" w:hAnsiTheme="minorHAnsi" w:cstheme="minorHAnsi"/>
          <w:sz w:val="22"/>
          <w:szCs w:val="22"/>
        </w:rPr>
        <w:t>%).</w:t>
      </w:r>
    </w:p>
    <w:p w14:paraId="009832FF" w14:textId="0B3DB47A" w:rsidR="003F4F50" w:rsidRDefault="008825CF" w:rsidP="008126CB">
      <w:pPr>
        <w:ind w:left="709"/>
        <w:jc w:val="both"/>
        <w:rPr>
          <w:rFonts w:asciiTheme="minorHAnsi" w:hAnsiTheme="minorHAnsi" w:cstheme="minorHAnsi"/>
          <w:sz w:val="22"/>
          <w:szCs w:val="22"/>
        </w:rPr>
      </w:pPr>
      <w:r>
        <w:rPr>
          <w:rFonts w:asciiTheme="minorHAnsi" w:hAnsiTheme="minorHAnsi" w:cstheme="minorHAnsi"/>
          <w:sz w:val="22"/>
          <w:szCs w:val="22"/>
        </w:rPr>
        <w:t>P</w:t>
      </w:r>
      <w:r w:rsidR="007D2A09">
        <w:rPr>
          <w:rFonts w:asciiTheme="minorHAnsi" w:hAnsiTheme="minorHAnsi" w:cstheme="minorHAnsi"/>
          <w:sz w:val="22"/>
          <w:szCs w:val="22"/>
        </w:rPr>
        <w:t>or otro lado</w:t>
      </w:r>
      <w:r>
        <w:rPr>
          <w:rFonts w:asciiTheme="minorHAnsi" w:hAnsiTheme="minorHAnsi" w:cstheme="minorHAnsi"/>
          <w:sz w:val="22"/>
          <w:szCs w:val="22"/>
        </w:rPr>
        <w:t>, el precio del J</w:t>
      </w:r>
      <w:r w:rsidR="000E16A0" w:rsidRPr="00271C1D">
        <w:rPr>
          <w:rFonts w:asciiTheme="minorHAnsi" w:hAnsiTheme="minorHAnsi" w:cstheme="minorHAnsi"/>
          <w:sz w:val="22"/>
          <w:szCs w:val="22"/>
        </w:rPr>
        <w:t xml:space="preserve">et 54 </w:t>
      </w:r>
      <w:r w:rsidR="00167750">
        <w:rPr>
          <w:rFonts w:asciiTheme="minorHAnsi" w:hAnsiTheme="minorHAnsi" w:cstheme="minorHAnsi"/>
          <w:sz w:val="22"/>
          <w:szCs w:val="22"/>
        </w:rPr>
        <w:t>baj</w:t>
      </w:r>
      <w:r w:rsidR="00F605CC">
        <w:rPr>
          <w:rFonts w:asciiTheme="minorHAnsi" w:hAnsiTheme="minorHAnsi" w:cstheme="minorHAnsi"/>
          <w:sz w:val="22"/>
          <w:szCs w:val="22"/>
        </w:rPr>
        <w:t>ó</w:t>
      </w:r>
      <w:r w:rsidR="000E16A0" w:rsidRPr="00271C1D">
        <w:rPr>
          <w:rFonts w:asciiTheme="minorHAnsi" w:hAnsiTheme="minorHAnsi" w:cstheme="minorHAnsi"/>
          <w:sz w:val="22"/>
          <w:szCs w:val="22"/>
        </w:rPr>
        <w:t xml:space="preserve"> </w:t>
      </w:r>
      <w:r w:rsidR="000A5109">
        <w:rPr>
          <w:rFonts w:asciiTheme="minorHAnsi" w:hAnsiTheme="minorHAnsi" w:cstheme="minorHAnsi"/>
          <w:sz w:val="22"/>
          <w:szCs w:val="22"/>
        </w:rPr>
        <w:t>1.</w:t>
      </w:r>
      <w:r w:rsidR="00167750">
        <w:rPr>
          <w:rFonts w:asciiTheme="minorHAnsi" w:hAnsiTheme="minorHAnsi" w:cstheme="minorHAnsi"/>
          <w:sz w:val="22"/>
          <w:szCs w:val="22"/>
        </w:rPr>
        <w:t>52</w:t>
      </w:r>
      <w:r w:rsidR="000E16A0">
        <w:rPr>
          <w:rFonts w:asciiTheme="minorHAnsi" w:hAnsiTheme="minorHAnsi" w:cstheme="minorHAnsi"/>
          <w:sz w:val="22"/>
          <w:szCs w:val="22"/>
        </w:rPr>
        <w:t xml:space="preserve"> </w:t>
      </w:r>
      <w:r w:rsidR="000E16A0" w:rsidRPr="00271C1D">
        <w:rPr>
          <w:rFonts w:asciiTheme="minorHAnsi" w:hAnsiTheme="minorHAnsi" w:cstheme="minorHAnsi"/>
          <w:sz w:val="22"/>
          <w:szCs w:val="22"/>
        </w:rPr>
        <w:t>US$/Bl (</w:t>
      </w:r>
      <w:r w:rsidR="00167750">
        <w:rPr>
          <w:rFonts w:asciiTheme="minorHAnsi" w:hAnsiTheme="minorHAnsi" w:cstheme="minorHAnsi"/>
          <w:sz w:val="22"/>
          <w:szCs w:val="22"/>
        </w:rPr>
        <w:t>1.61</w:t>
      </w:r>
      <w:r>
        <w:rPr>
          <w:rFonts w:asciiTheme="minorHAnsi" w:hAnsiTheme="minorHAnsi" w:cstheme="minorHAnsi"/>
          <w:sz w:val="22"/>
          <w:szCs w:val="22"/>
        </w:rPr>
        <w:t xml:space="preserve">%), en tanto </w:t>
      </w:r>
      <w:r w:rsidR="008126CB" w:rsidRPr="00271C1D">
        <w:rPr>
          <w:rFonts w:asciiTheme="minorHAnsi" w:hAnsiTheme="minorHAnsi" w:cstheme="minorHAnsi"/>
          <w:sz w:val="22"/>
          <w:szCs w:val="22"/>
        </w:rPr>
        <w:t xml:space="preserve">el precio del </w:t>
      </w:r>
      <w:r>
        <w:rPr>
          <w:rFonts w:asciiTheme="minorHAnsi" w:hAnsiTheme="minorHAnsi" w:cstheme="minorHAnsi"/>
          <w:sz w:val="22"/>
          <w:szCs w:val="22"/>
        </w:rPr>
        <w:t>ULS Diésel</w:t>
      </w:r>
      <w:r w:rsidR="008126CB" w:rsidRPr="00271C1D">
        <w:rPr>
          <w:rFonts w:asciiTheme="minorHAnsi" w:hAnsiTheme="minorHAnsi" w:cstheme="minorHAnsi"/>
          <w:sz w:val="22"/>
          <w:szCs w:val="22"/>
        </w:rPr>
        <w:t xml:space="preserve"> </w:t>
      </w:r>
      <w:r w:rsidR="00167750">
        <w:rPr>
          <w:rFonts w:asciiTheme="minorHAnsi" w:hAnsiTheme="minorHAnsi" w:cstheme="minorHAnsi"/>
          <w:sz w:val="22"/>
          <w:szCs w:val="22"/>
        </w:rPr>
        <w:t>disminuyó</w:t>
      </w:r>
      <w:r w:rsidR="0059697B">
        <w:rPr>
          <w:rFonts w:asciiTheme="minorHAnsi" w:hAnsiTheme="minorHAnsi" w:cstheme="minorHAnsi"/>
          <w:sz w:val="22"/>
          <w:szCs w:val="22"/>
        </w:rPr>
        <w:t xml:space="preserve"> en</w:t>
      </w:r>
      <w:r w:rsidR="00F605CC">
        <w:rPr>
          <w:rFonts w:asciiTheme="minorHAnsi" w:hAnsiTheme="minorHAnsi" w:cstheme="minorHAnsi"/>
          <w:sz w:val="22"/>
          <w:szCs w:val="22"/>
        </w:rPr>
        <w:t xml:space="preserve"> </w:t>
      </w:r>
      <w:r w:rsidR="000A5109">
        <w:rPr>
          <w:rFonts w:asciiTheme="minorHAnsi" w:hAnsiTheme="minorHAnsi" w:cstheme="minorHAnsi"/>
          <w:sz w:val="22"/>
          <w:szCs w:val="22"/>
        </w:rPr>
        <w:t>1.</w:t>
      </w:r>
      <w:r w:rsidR="00167750">
        <w:rPr>
          <w:rFonts w:asciiTheme="minorHAnsi" w:hAnsiTheme="minorHAnsi" w:cstheme="minorHAnsi"/>
          <w:sz w:val="22"/>
          <w:szCs w:val="22"/>
        </w:rPr>
        <w:t>05</w:t>
      </w:r>
      <w:r w:rsidR="007A087F">
        <w:rPr>
          <w:rFonts w:asciiTheme="minorHAnsi" w:hAnsiTheme="minorHAnsi" w:cstheme="minorHAnsi"/>
          <w:sz w:val="22"/>
          <w:szCs w:val="22"/>
        </w:rPr>
        <w:t xml:space="preserve"> </w:t>
      </w:r>
      <w:r w:rsidR="008126CB" w:rsidRPr="00271C1D">
        <w:rPr>
          <w:rFonts w:asciiTheme="minorHAnsi" w:hAnsiTheme="minorHAnsi" w:cstheme="minorHAnsi"/>
          <w:sz w:val="22"/>
          <w:szCs w:val="22"/>
        </w:rPr>
        <w:t>US$/Bl (</w:t>
      </w:r>
      <w:r w:rsidR="000A5109">
        <w:rPr>
          <w:rFonts w:asciiTheme="minorHAnsi" w:hAnsiTheme="minorHAnsi" w:cstheme="minorHAnsi"/>
          <w:sz w:val="22"/>
          <w:szCs w:val="22"/>
        </w:rPr>
        <w:t>1.</w:t>
      </w:r>
      <w:r w:rsidR="00167750">
        <w:rPr>
          <w:rFonts w:asciiTheme="minorHAnsi" w:hAnsiTheme="minorHAnsi" w:cstheme="minorHAnsi"/>
          <w:sz w:val="22"/>
          <w:szCs w:val="22"/>
        </w:rPr>
        <w:t>07</w:t>
      </w:r>
      <w:r>
        <w:rPr>
          <w:rFonts w:asciiTheme="minorHAnsi" w:hAnsiTheme="minorHAnsi" w:cstheme="minorHAnsi"/>
          <w:sz w:val="22"/>
          <w:szCs w:val="22"/>
        </w:rPr>
        <w:t>%). Finalmente, el precio del R</w:t>
      </w:r>
      <w:r w:rsidR="008126CB" w:rsidRPr="00271C1D">
        <w:rPr>
          <w:rFonts w:asciiTheme="minorHAnsi" w:hAnsiTheme="minorHAnsi" w:cstheme="minorHAnsi"/>
          <w:sz w:val="22"/>
          <w:szCs w:val="22"/>
        </w:rPr>
        <w:t xml:space="preserve">esidual Nº6-3%S </w:t>
      </w:r>
      <w:r w:rsidR="0059697B">
        <w:rPr>
          <w:rFonts w:asciiTheme="minorHAnsi" w:hAnsiTheme="minorHAnsi" w:cstheme="minorHAnsi"/>
          <w:sz w:val="22"/>
          <w:szCs w:val="22"/>
        </w:rPr>
        <w:t>aumentó</w:t>
      </w:r>
      <w:r w:rsidR="00F605CC">
        <w:rPr>
          <w:rFonts w:asciiTheme="minorHAnsi" w:hAnsiTheme="minorHAnsi" w:cstheme="minorHAnsi"/>
          <w:sz w:val="22"/>
          <w:szCs w:val="22"/>
        </w:rPr>
        <w:t xml:space="preserve"> </w:t>
      </w:r>
      <w:r w:rsidR="00167750">
        <w:rPr>
          <w:rFonts w:asciiTheme="minorHAnsi" w:hAnsiTheme="minorHAnsi" w:cstheme="minorHAnsi"/>
          <w:sz w:val="22"/>
          <w:szCs w:val="22"/>
        </w:rPr>
        <w:t>1.31</w:t>
      </w:r>
      <w:r>
        <w:rPr>
          <w:rFonts w:asciiTheme="minorHAnsi" w:hAnsiTheme="minorHAnsi" w:cstheme="minorHAnsi"/>
          <w:sz w:val="22"/>
          <w:szCs w:val="22"/>
        </w:rPr>
        <w:t xml:space="preserve"> </w:t>
      </w:r>
      <w:r w:rsidR="008126CB" w:rsidRPr="00271C1D">
        <w:rPr>
          <w:rFonts w:asciiTheme="minorHAnsi" w:hAnsiTheme="minorHAnsi" w:cstheme="minorHAnsi"/>
          <w:sz w:val="22"/>
          <w:szCs w:val="22"/>
        </w:rPr>
        <w:t>US$/Bl (</w:t>
      </w:r>
      <w:r w:rsidR="00167750">
        <w:rPr>
          <w:rFonts w:asciiTheme="minorHAnsi" w:hAnsiTheme="minorHAnsi" w:cstheme="minorHAnsi"/>
          <w:sz w:val="22"/>
          <w:szCs w:val="22"/>
        </w:rPr>
        <w:t>1.65</w:t>
      </w:r>
      <w:r w:rsidR="008126CB" w:rsidRPr="00271C1D">
        <w:rPr>
          <w:rFonts w:asciiTheme="minorHAnsi" w:hAnsiTheme="minorHAnsi" w:cstheme="minorHAnsi"/>
          <w:sz w:val="22"/>
          <w:szCs w:val="22"/>
        </w:rPr>
        <w:t>%).</w:t>
      </w:r>
    </w:p>
    <w:p w14:paraId="08092425" w14:textId="77777777" w:rsidR="00B8281F" w:rsidRDefault="00B8281F" w:rsidP="008126CB">
      <w:pPr>
        <w:ind w:left="709"/>
        <w:jc w:val="both"/>
        <w:rPr>
          <w:rFonts w:asciiTheme="minorHAnsi" w:hAnsiTheme="minorHAnsi" w:cstheme="minorHAnsi"/>
          <w:sz w:val="22"/>
          <w:szCs w:val="22"/>
        </w:rPr>
      </w:pPr>
    </w:p>
    <w:p w14:paraId="2C457EC3" w14:textId="0615B728" w:rsidR="003B0F58" w:rsidRDefault="006B0322" w:rsidP="00AE6269">
      <w:pPr>
        <w:ind w:left="709"/>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2D6CD993" w14:textId="77777777" w:rsidR="00E07C0A" w:rsidRPr="00E07C0A" w:rsidRDefault="00E07C0A" w:rsidP="00AE6269">
      <w:pPr>
        <w:numPr>
          <w:ilvl w:val="0"/>
          <w:numId w:val="32"/>
        </w:numPr>
        <w:spacing w:after="200" w:line="276" w:lineRule="auto"/>
        <w:ind w:left="1134" w:hanging="426"/>
        <w:jc w:val="both"/>
        <w:rPr>
          <w:rFonts w:asciiTheme="minorHAnsi" w:hAnsiTheme="minorHAnsi" w:cstheme="minorHAnsi"/>
          <w:sz w:val="22"/>
          <w:szCs w:val="22"/>
        </w:rPr>
      </w:pPr>
      <w:r w:rsidRPr="00E07C0A">
        <w:rPr>
          <w:rFonts w:asciiTheme="minorHAnsi" w:hAnsiTheme="minorHAnsi" w:cstheme="minorHAnsi"/>
          <w:sz w:val="22"/>
          <w:szCs w:val="22"/>
        </w:rPr>
        <w:t>La caída de los inventarios de petróleo crudo, destilados y gasolinas en EE.UU., al 03 de setiembre 2021.</w:t>
      </w:r>
    </w:p>
    <w:p w14:paraId="43E3B14C" w14:textId="582751CD" w:rsidR="00E07C0A" w:rsidRDefault="00E07C0A" w:rsidP="00E07C0A">
      <w:pPr>
        <w:ind w:left="720"/>
        <w:jc w:val="both"/>
        <w:rPr>
          <w:rFonts w:asciiTheme="minorHAnsi" w:hAnsiTheme="minorHAnsi" w:cstheme="minorHAnsi"/>
          <w:sz w:val="22"/>
          <w:szCs w:val="22"/>
        </w:rPr>
      </w:pPr>
      <w:r w:rsidRPr="00E07C0A">
        <w:rPr>
          <w:rFonts w:asciiTheme="minorHAnsi" w:hAnsiTheme="minorHAnsi" w:cstheme="minorHAnsi"/>
          <w:sz w:val="22"/>
          <w:szCs w:val="22"/>
        </w:rPr>
        <w:lastRenderedPageBreak/>
        <w:t>Los inventarios de petróleo bajaron 1.5 millones de barriles. Las existencias de gasolina disminuyeron 7.2 millones de barriles; mientras los inventarios de destilados, que incluyen al diésel y al combustible para calefacción, se red</w:t>
      </w:r>
      <w:r w:rsidR="00807B7B">
        <w:rPr>
          <w:rFonts w:asciiTheme="minorHAnsi" w:hAnsiTheme="minorHAnsi" w:cstheme="minorHAnsi"/>
          <w:sz w:val="22"/>
          <w:szCs w:val="22"/>
        </w:rPr>
        <w:t>ujeron 3.1 millones de barriles (Ver Anexo N°2).</w:t>
      </w:r>
    </w:p>
    <w:p w14:paraId="3C79EA25" w14:textId="77777777" w:rsidR="00807B7B" w:rsidRPr="00E07C0A" w:rsidRDefault="00807B7B" w:rsidP="00E07C0A">
      <w:pPr>
        <w:ind w:left="720"/>
        <w:jc w:val="both"/>
        <w:rPr>
          <w:rFonts w:asciiTheme="minorHAnsi" w:hAnsiTheme="minorHAnsi" w:cstheme="minorHAnsi"/>
          <w:sz w:val="22"/>
          <w:szCs w:val="22"/>
        </w:rPr>
      </w:pPr>
    </w:p>
    <w:p w14:paraId="111582BC" w14:textId="4F9B5862" w:rsidR="00E07C0A" w:rsidRDefault="00E07C0A" w:rsidP="00373C05">
      <w:pPr>
        <w:numPr>
          <w:ilvl w:val="0"/>
          <w:numId w:val="32"/>
        </w:numPr>
        <w:spacing w:line="276" w:lineRule="auto"/>
        <w:ind w:left="1077" w:hanging="357"/>
        <w:jc w:val="both"/>
        <w:rPr>
          <w:rFonts w:asciiTheme="minorHAnsi" w:hAnsiTheme="minorHAnsi" w:cstheme="minorHAnsi"/>
          <w:sz w:val="22"/>
          <w:szCs w:val="22"/>
        </w:rPr>
      </w:pPr>
      <w:r w:rsidRPr="00E07C0A">
        <w:rPr>
          <w:rFonts w:asciiTheme="minorHAnsi" w:hAnsiTheme="minorHAnsi" w:cstheme="minorHAnsi"/>
          <w:sz w:val="22"/>
          <w:szCs w:val="22"/>
        </w:rPr>
        <w:t>La lenta reapertura del centro de exportación y refinación de crudo de la costa estadounidense del Golfo de México, luego del paso del huracán Ida.</w:t>
      </w:r>
    </w:p>
    <w:p w14:paraId="01451CC6" w14:textId="77777777" w:rsidR="00E07C0A" w:rsidRPr="00E07C0A" w:rsidRDefault="00E07C0A" w:rsidP="00373C05">
      <w:pPr>
        <w:ind w:left="1077"/>
        <w:jc w:val="both"/>
        <w:rPr>
          <w:rFonts w:asciiTheme="minorHAnsi" w:hAnsiTheme="minorHAnsi" w:cstheme="minorHAnsi"/>
          <w:sz w:val="22"/>
          <w:szCs w:val="22"/>
        </w:rPr>
      </w:pPr>
      <w:r w:rsidRPr="00E07C0A">
        <w:rPr>
          <w:rFonts w:asciiTheme="minorHAnsi" w:hAnsiTheme="minorHAnsi" w:cstheme="minorHAnsi"/>
          <w:sz w:val="22"/>
          <w:szCs w:val="22"/>
        </w:rPr>
        <w:t>Cerca del 80% de la producción estadounidense en el Golfo de México seguía inactiva el martes 7 de setiembre, con 79 plataformas aún desocupadas. Para esta fecha, se reportó una pérdida en el mercado de 17.5 millones de barriles de petróleo aproximadamente. Los pozos en alta mar, en el Golfo, representan un 17% de la producción estadounidense.</w:t>
      </w:r>
    </w:p>
    <w:p w14:paraId="536D8D6D" w14:textId="77777777" w:rsidR="00E07C0A" w:rsidRPr="00E07C0A" w:rsidRDefault="00E07C0A" w:rsidP="00373C05">
      <w:pPr>
        <w:ind w:left="1077"/>
        <w:jc w:val="both"/>
        <w:rPr>
          <w:rFonts w:asciiTheme="minorHAnsi" w:hAnsiTheme="minorHAnsi" w:cstheme="minorHAnsi"/>
          <w:sz w:val="22"/>
          <w:szCs w:val="22"/>
        </w:rPr>
      </w:pPr>
    </w:p>
    <w:p w14:paraId="2CD782F7" w14:textId="77777777" w:rsidR="00E07C0A" w:rsidRPr="00E07C0A" w:rsidRDefault="00E07C0A" w:rsidP="00373C05">
      <w:pPr>
        <w:numPr>
          <w:ilvl w:val="0"/>
          <w:numId w:val="32"/>
        </w:numPr>
        <w:spacing w:after="200" w:line="276" w:lineRule="auto"/>
        <w:ind w:left="1083"/>
        <w:jc w:val="both"/>
        <w:rPr>
          <w:rFonts w:asciiTheme="minorHAnsi" w:hAnsiTheme="minorHAnsi" w:cstheme="minorHAnsi"/>
          <w:sz w:val="22"/>
          <w:szCs w:val="22"/>
        </w:rPr>
      </w:pPr>
      <w:r w:rsidRPr="00E07C0A">
        <w:rPr>
          <w:rFonts w:asciiTheme="minorHAnsi" w:hAnsiTheme="minorHAnsi" w:cstheme="minorHAnsi"/>
          <w:sz w:val="22"/>
          <w:szCs w:val="22"/>
        </w:rPr>
        <w:t>El pronóstico de un mayor aumento de la demanda de crudo en 2022, de parte de la OPEP; así como la decisión de esta Organización, de continuar con su política de salir gradualmente del acuerdo de recortes de producción, lo que sumará 400,000 barriles por día (bpd) al mercado internacional.</w:t>
      </w:r>
    </w:p>
    <w:p w14:paraId="62C8000A" w14:textId="77777777" w:rsidR="00E07C0A" w:rsidRPr="00E07C0A" w:rsidRDefault="00E07C0A" w:rsidP="00373C05">
      <w:pPr>
        <w:numPr>
          <w:ilvl w:val="0"/>
          <w:numId w:val="32"/>
        </w:numPr>
        <w:spacing w:after="200" w:line="276" w:lineRule="auto"/>
        <w:ind w:left="1083"/>
        <w:jc w:val="both"/>
        <w:rPr>
          <w:rFonts w:asciiTheme="minorHAnsi" w:hAnsiTheme="minorHAnsi" w:cstheme="minorHAnsi"/>
          <w:sz w:val="22"/>
          <w:szCs w:val="22"/>
        </w:rPr>
      </w:pPr>
      <w:r w:rsidRPr="00E07C0A">
        <w:rPr>
          <w:rFonts w:asciiTheme="minorHAnsi" w:hAnsiTheme="minorHAnsi" w:cstheme="minorHAnsi"/>
          <w:sz w:val="22"/>
          <w:szCs w:val="22"/>
        </w:rPr>
        <w:t>El fortalecimiento del dólar y las preocupaciones sobre el impacto de las crecientes infecciones por coronavirus en la demanda de petróleo y combustibles.</w:t>
      </w:r>
    </w:p>
    <w:p w14:paraId="143D7D17" w14:textId="1E639B32" w:rsidR="00AF270F" w:rsidRPr="009E1D22" w:rsidRDefault="00D0106C" w:rsidP="00B33B57">
      <w:pPr>
        <w:ind w:left="-567"/>
        <w:rPr>
          <w:rFonts w:asciiTheme="minorHAnsi" w:hAnsiTheme="minorHAnsi" w:cstheme="minorHAnsi"/>
          <w:b/>
          <w:bCs/>
          <w:u w:val="single"/>
        </w:rPr>
      </w:pPr>
      <w:r w:rsidRPr="009E1D22">
        <w:rPr>
          <w:rFonts w:asciiTheme="minorHAnsi" w:hAnsiTheme="minorHAnsi"/>
          <w:b/>
          <w:noProof/>
          <w:lang w:val="en-US" w:eastAsia="en-US"/>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3F83950C" w:rsidR="0064631C" w:rsidRDefault="006360D0" w:rsidP="00B25F10">
      <w:pPr>
        <w:pStyle w:val="Sangradetextonormal"/>
        <w:numPr>
          <w:ilvl w:val="0"/>
          <w:numId w:val="7"/>
        </w:numPr>
        <w:ind w:left="993" w:hanging="284"/>
        <w:rPr>
          <w:rFonts w:asciiTheme="minorHAnsi" w:hAnsiTheme="minorHAnsi" w:cstheme="minorHAnsi"/>
          <w:sz w:val="22"/>
          <w:szCs w:val="22"/>
        </w:rPr>
      </w:pPr>
      <w:r w:rsidRPr="00271C1D">
        <w:rPr>
          <w:rFonts w:asciiTheme="minorHAnsi" w:hAnsiTheme="minorHAnsi" w:cstheme="minorHAnsi"/>
          <w:sz w:val="22"/>
          <w:szCs w:val="22"/>
        </w:rPr>
        <w:t>El día</w:t>
      </w:r>
      <w:r w:rsidR="00E46F9A">
        <w:rPr>
          <w:rFonts w:asciiTheme="minorHAnsi" w:hAnsiTheme="minorHAnsi" w:cstheme="minorHAnsi"/>
          <w:sz w:val="22"/>
          <w:szCs w:val="22"/>
        </w:rPr>
        <w:t xml:space="preserve"> </w:t>
      </w:r>
      <w:r w:rsidR="00031DD6">
        <w:rPr>
          <w:rFonts w:asciiTheme="minorHAnsi" w:hAnsiTheme="minorHAnsi" w:cstheme="minorHAnsi"/>
          <w:sz w:val="22"/>
          <w:szCs w:val="22"/>
        </w:rPr>
        <w:t>11</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897911">
        <w:rPr>
          <w:rFonts w:asciiTheme="minorHAnsi" w:hAnsiTheme="minorHAnsi" w:cstheme="minorHAnsi"/>
          <w:sz w:val="22"/>
          <w:szCs w:val="22"/>
        </w:rPr>
        <w:t>9</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031DD6">
        <w:rPr>
          <w:rFonts w:asciiTheme="minorHAnsi" w:hAnsiTheme="minorHAnsi" w:cstheme="minorHAnsi"/>
          <w:sz w:val="22"/>
          <w:szCs w:val="22"/>
        </w:rPr>
        <w:t xml:space="preserve">-1.16 </w:t>
      </w:r>
      <w:r w:rsidR="006D53CD">
        <w:rPr>
          <w:rFonts w:asciiTheme="minorHAnsi" w:hAnsiTheme="minorHAnsi" w:cstheme="minorHAnsi"/>
          <w:sz w:val="22"/>
          <w:szCs w:val="22"/>
        </w:rPr>
        <w:t xml:space="preserve">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031DD6">
        <w:rPr>
          <w:rFonts w:asciiTheme="minorHAnsi" w:hAnsiTheme="minorHAnsi" w:cstheme="minorHAnsi"/>
          <w:sz w:val="22"/>
          <w:szCs w:val="22"/>
        </w:rPr>
        <w:t>+</w:t>
      </w:r>
      <w:r w:rsidR="00E07611">
        <w:rPr>
          <w:rFonts w:asciiTheme="minorHAnsi" w:hAnsiTheme="minorHAnsi" w:cstheme="minorHAnsi"/>
          <w:sz w:val="22"/>
          <w:szCs w:val="22"/>
        </w:rPr>
        <w:t>0.</w:t>
      </w:r>
      <w:r w:rsidR="00031DD6">
        <w:rPr>
          <w:rFonts w:asciiTheme="minorHAnsi" w:hAnsiTheme="minorHAnsi" w:cstheme="minorHAnsi"/>
          <w:sz w:val="22"/>
          <w:szCs w:val="22"/>
        </w:rPr>
        <w:t>35</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031DD6">
        <w:rPr>
          <w:rFonts w:asciiTheme="minorHAnsi" w:hAnsiTheme="minorHAnsi" w:cstheme="minorHAnsi"/>
          <w:sz w:val="22"/>
          <w:szCs w:val="22"/>
        </w:rPr>
        <w:t>+</w:t>
      </w:r>
      <w:r w:rsidR="009060FB">
        <w:rPr>
          <w:rFonts w:asciiTheme="minorHAnsi" w:hAnsiTheme="minorHAnsi" w:cstheme="minorHAnsi"/>
          <w:sz w:val="22"/>
          <w:szCs w:val="22"/>
        </w:rPr>
        <w:t>0.</w:t>
      </w:r>
      <w:r w:rsidR="00031DD6">
        <w:rPr>
          <w:rFonts w:asciiTheme="minorHAnsi" w:hAnsiTheme="minorHAnsi" w:cstheme="minorHAnsi"/>
          <w:sz w:val="22"/>
          <w:szCs w:val="22"/>
        </w:rPr>
        <w:t>40</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octanos</w:t>
      </w:r>
      <w:r w:rsidR="00377884" w:rsidRPr="00271C1D">
        <w:rPr>
          <w:rFonts w:asciiTheme="minorHAnsi" w:hAnsiTheme="minorHAnsi" w:cstheme="minorHAnsi"/>
          <w:sz w:val="22"/>
          <w:szCs w:val="22"/>
        </w:rPr>
        <w:t>, los gasoholes de 97(</w:t>
      </w:r>
      <w:r w:rsidR="00031DD6">
        <w:rPr>
          <w:rFonts w:asciiTheme="minorHAnsi" w:hAnsiTheme="minorHAnsi" w:cstheme="minorHAnsi"/>
          <w:sz w:val="22"/>
          <w:szCs w:val="22"/>
        </w:rPr>
        <w:t>+</w:t>
      </w:r>
      <w:r w:rsidR="009060FB">
        <w:rPr>
          <w:rFonts w:asciiTheme="minorHAnsi" w:hAnsiTheme="minorHAnsi" w:cstheme="minorHAnsi"/>
          <w:sz w:val="22"/>
          <w:szCs w:val="22"/>
        </w:rPr>
        <w:t>0.</w:t>
      </w:r>
      <w:r w:rsidR="00031DD6">
        <w:rPr>
          <w:rFonts w:asciiTheme="minorHAnsi" w:hAnsiTheme="minorHAnsi" w:cstheme="minorHAnsi"/>
          <w:sz w:val="22"/>
          <w:szCs w:val="22"/>
        </w:rPr>
        <w:t>24</w:t>
      </w:r>
      <w:r w:rsidR="00377884" w:rsidRPr="00271C1D">
        <w:rPr>
          <w:rFonts w:asciiTheme="minorHAnsi" w:hAnsiTheme="minorHAnsi" w:cstheme="minorHAnsi"/>
          <w:sz w:val="22"/>
          <w:szCs w:val="22"/>
        </w:rPr>
        <w:t xml:space="preserve"> S/Gln), 95(</w:t>
      </w:r>
      <w:r w:rsidR="00031DD6">
        <w:rPr>
          <w:rFonts w:asciiTheme="minorHAnsi" w:hAnsiTheme="minorHAnsi" w:cstheme="minorHAnsi"/>
          <w:sz w:val="22"/>
          <w:szCs w:val="22"/>
        </w:rPr>
        <w:t>+</w:t>
      </w:r>
      <w:r w:rsidR="00E07611">
        <w:rPr>
          <w:rFonts w:asciiTheme="minorHAnsi" w:hAnsiTheme="minorHAnsi" w:cstheme="minorHAnsi"/>
          <w:sz w:val="22"/>
          <w:szCs w:val="22"/>
        </w:rPr>
        <w:t>0.</w:t>
      </w:r>
      <w:r w:rsidR="00031DD6">
        <w:rPr>
          <w:rFonts w:asciiTheme="minorHAnsi" w:hAnsiTheme="minorHAnsi" w:cstheme="minorHAnsi"/>
          <w:sz w:val="22"/>
          <w:szCs w:val="22"/>
        </w:rPr>
        <w:t>26</w:t>
      </w:r>
      <w:r w:rsidR="00377884" w:rsidRPr="00271C1D">
        <w:rPr>
          <w:rFonts w:asciiTheme="minorHAnsi" w:hAnsiTheme="minorHAnsi" w:cstheme="minorHAnsi"/>
          <w:sz w:val="22"/>
          <w:szCs w:val="22"/>
        </w:rPr>
        <w:t xml:space="preserve"> S/Gln), 90(</w:t>
      </w:r>
      <w:r w:rsidR="00031DD6">
        <w:rPr>
          <w:rFonts w:asciiTheme="minorHAnsi" w:hAnsiTheme="minorHAnsi" w:cstheme="minorHAnsi"/>
          <w:sz w:val="22"/>
          <w:szCs w:val="22"/>
        </w:rPr>
        <w:t>+</w:t>
      </w:r>
      <w:r w:rsidR="00E07611">
        <w:rPr>
          <w:rFonts w:asciiTheme="minorHAnsi" w:hAnsiTheme="minorHAnsi" w:cstheme="minorHAnsi"/>
          <w:sz w:val="22"/>
          <w:szCs w:val="22"/>
        </w:rPr>
        <w:t>0.</w:t>
      </w:r>
      <w:r w:rsidR="00031DD6">
        <w:rPr>
          <w:rFonts w:asciiTheme="minorHAnsi" w:hAnsiTheme="minorHAnsi" w:cstheme="minorHAnsi"/>
          <w:sz w:val="22"/>
          <w:szCs w:val="22"/>
        </w:rPr>
        <w:t>32</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y</w:t>
      </w:r>
      <w:r w:rsidR="00377884" w:rsidRPr="00271C1D">
        <w:rPr>
          <w:rFonts w:asciiTheme="minorHAnsi" w:hAnsiTheme="minorHAnsi" w:cstheme="minorHAnsi"/>
          <w:sz w:val="22"/>
          <w:szCs w:val="22"/>
        </w:rPr>
        <w:t xml:space="preserve"> 84(</w:t>
      </w:r>
      <w:r w:rsidR="00031DD6">
        <w:rPr>
          <w:rFonts w:asciiTheme="minorHAnsi" w:hAnsiTheme="minorHAnsi" w:cstheme="minorHAnsi"/>
          <w:sz w:val="22"/>
          <w:szCs w:val="22"/>
        </w:rPr>
        <w:t>+</w:t>
      </w:r>
      <w:r w:rsidR="009060FB">
        <w:rPr>
          <w:rFonts w:asciiTheme="minorHAnsi" w:hAnsiTheme="minorHAnsi" w:cstheme="minorHAnsi"/>
          <w:sz w:val="22"/>
          <w:szCs w:val="22"/>
        </w:rPr>
        <w:t>0.</w:t>
      </w:r>
      <w:r w:rsidR="00031DD6">
        <w:rPr>
          <w:rFonts w:asciiTheme="minorHAnsi" w:hAnsiTheme="minorHAnsi" w:cstheme="minorHAnsi"/>
          <w:sz w:val="22"/>
          <w:szCs w:val="22"/>
        </w:rPr>
        <w:t>35</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r w:rsidR="00B05BFE" w:rsidRPr="00271C1D">
        <w:rPr>
          <w:rFonts w:asciiTheme="minorHAnsi" w:hAnsiTheme="minorHAnsi" w:cstheme="minorHAnsi"/>
          <w:sz w:val="22"/>
          <w:szCs w:val="22"/>
        </w:rPr>
        <w:t>Gln) octanos</w:t>
      </w:r>
      <w:r w:rsidR="008D4274">
        <w:rPr>
          <w:rFonts w:asciiTheme="minorHAnsi" w:hAnsiTheme="minorHAnsi" w:cstheme="minorHAnsi"/>
          <w:sz w:val="22"/>
          <w:szCs w:val="22"/>
        </w:rPr>
        <w:t xml:space="preserve">, así como en el precio </w:t>
      </w:r>
      <w:r w:rsidR="00E07611">
        <w:rPr>
          <w:rFonts w:asciiTheme="minorHAnsi" w:hAnsiTheme="minorHAnsi" w:cstheme="minorHAnsi"/>
          <w:sz w:val="22"/>
          <w:szCs w:val="22"/>
        </w:rPr>
        <w:t>de</w:t>
      </w:r>
      <w:r w:rsidR="00332547">
        <w:rPr>
          <w:rFonts w:asciiTheme="minorHAnsi" w:hAnsiTheme="minorHAnsi" w:cstheme="minorHAnsi"/>
          <w:sz w:val="22"/>
          <w:szCs w:val="22"/>
        </w:rPr>
        <w:t xml:space="preserve"> los residuales R6 (</w:t>
      </w:r>
      <w:r w:rsidR="00897911">
        <w:rPr>
          <w:rFonts w:asciiTheme="minorHAnsi" w:hAnsiTheme="minorHAnsi" w:cstheme="minorHAnsi"/>
          <w:sz w:val="22"/>
          <w:szCs w:val="22"/>
        </w:rPr>
        <w:t>+</w:t>
      </w:r>
      <w:r w:rsidR="00332547">
        <w:rPr>
          <w:rFonts w:asciiTheme="minorHAnsi" w:hAnsiTheme="minorHAnsi" w:cstheme="minorHAnsi"/>
          <w:sz w:val="22"/>
          <w:szCs w:val="22"/>
        </w:rPr>
        <w:t>0.</w:t>
      </w:r>
      <w:r w:rsidR="00897911">
        <w:rPr>
          <w:rFonts w:asciiTheme="minorHAnsi" w:hAnsiTheme="minorHAnsi" w:cstheme="minorHAnsi"/>
          <w:sz w:val="22"/>
          <w:szCs w:val="22"/>
        </w:rPr>
        <w:t>02</w:t>
      </w:r>
      <w:r w:rsidR="00332547">
        <w:rPr>
          <w:rFonts w:asciiTheme="minorHAnsi" w:hAnsiTheme="minorHAnsi" w:cstheme="minorHAnsi"/>
          <w:sz w:val="22"/>
          <w:szCs w:val="22"/>
        </w:rPr>
        <w:t xml:space="preserve"> S/Gln) y R500 (</w:t>
      </w:r>
      <w:r w:rsidR="00897911">
        <w:rPr>
          <w:rFonts w:asciiTheme="minorHAnsi" w:hAnsiTheme="minorHAnsi" w:cstheme="minorHAnsi"/>
          <w:sz w:val="22"/>
          <w:szCs w:val="22"/>
        </w:rPr>
        <w:t>+</w:t>
      </w:r>
      <w:r w:rsidR="00332547">
        <w:rPr>
          <w:rFonts w:asciiTheme="minorHAnsi" w:hAnsiTheme="minorHAnsi" w:cstheme="minorHAnsi"/>
          <w:sz w:val="22"/>
          <w:szCs w:val="22"/>
        </w:rPr>
        <w:t>0.</w:t>
      </w:r>
      <w:r w:rsidR="00E07611">
        <w:rPr>
          <w:rFonts w:asciiTheme="minorHAnsi" w:hAnsiTheme="minorHAnsi" w:cstheme="minorHAnsi"/>
          <w:sz w:val="22"/>
          <w:szCs w:val="22"/>
        </w:rPr>
        <w:t>14</w:t>
      </w:r>
      <w:r w:rsidR="00332547">
        <w:rPr>
          <w:rFonts w:asciiTheme="minorHAnsi" w:hAnsiTheme="minorHAnsi" w:cstheme="minorHAnsi"/>
          <w:sz w:val="22"/>
          <w:szCs w:val="22"/>
        </w:rPr>
        <w:t xml:space="preserve"> S/Gln).</w:t>
      </w:r>
    </w:p>
    <w:p w14:paraId="7512C3C9" w14:textId="77777777" w:rsidR="002D493D" w:rsidRDefault="002D493D" w:rsidP="00B25F10">
      <w:pPr>
        <w:pStyle w:val="Sangradetextonormal"/>
        <w:ind w:left="993" w:firstLine="0"/>
        <w:rPr>
          <w:rFonts w:asciiTheme="minorHAnsi" w:hAnsiTheme="minorHAnsi" w:cstheme="minorHAnsi"/>
          <w:sz w:val="22"/>
          <w:szCs w:val="22"/>
        </w:rPr>
      </w:pPr>
    </w:p>
    <w:p w14:paraId="2EE84DFF" w14:textId="7D26573C" w:rsidR="004464A5" w:rsidRDefault="00884FCF" w:rsidP="00884FCF">
      <w:pPr>
        <w:pStyle w:val="Sangradetextonormal"/>
        <w:numPr>
          <w:ilvl w:val="0"/>
          <w:numId w:val="7"/>
        </w:numPr>
        <w:ind w:left="993"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Márgenes Comerciales de todos los combustibles establecidos mediante la Resolución de la Gerencia de Regulación Tarifaria OSINERGMIN N° 0</w:t>
      </w:r>
      <w:r>
        <w:rPr>
          <w:rFonts w:asciiTheme="minorHAnsi" w:hAnsiTheme="minorHAnsi" w:cstheme="minorHAnsi"/>
          <w:sz w:val="22"/>
          <w:szCs w:val="22"/>
        </w:rPr>
        <w:t>44- 2021-OS/GRT publicada el de</w:t>
      </w:r>
      <w:r w:rsidRPr="00884FCF">
        <w:rPr>
          <w:rFonts w:asciiTheme="minorHAnsi" w:hAnsiTheme="minorHAnsi" w:cstheme="minorHAnsi"/>
          <w:sz w:val="22"/>
          <w:szCs w:val="22"/>
        </w:rPr>
        <w:t xml:space="preserve"> 24 de junio de 2021, y la Resolución de la Gerencia de Regulación Tarifaria OSINERGMIN N° 054-2021-OS/GRT publicada en el Diario Oficial El Pe</w:t>
      </w:r>
      <w:r w:rsidR="007F3A0F">
        <w:rPr>
          <w:rFonts w:asciiTheme="minorHAnsi" w:hAnsiTheme="minorHAnsi" w:cstheme="minorHAnsi"/>
          <w:sz w:val="22"/>
          <w:szCs w:val="22"/>
        </w:rPr>
        <w:t>ruano el 28 de julio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sidR="007F3A0F">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vigentes desde el martes 24 de agosto al jueves 26 de ago</w:t>
      </w:r>
      <w:r>
        <w:rPr>
          <w:rFonts w:asciiTheme="minorHAnsi" w:hAnsiTheme="minorHAnsi" w:cstheme="minorHAnsi"/>
          <w:sz w:val="22"/>
          <w:szCs w:val="22"/>
        </w:rPr>
        <w:t>sto de 2021.</w:t>
      </w:r>
    </w:p>
    <w:p w14:paraId="0079A9B7" w14:textId="77777777" w:rsidR="00884FCF" w:rsidRDefault="00884FCF" w:rsidP="00884FCF">
      <w:pPr>
        <w:pStyle w:val="Prrafodelista"/>
        <w:rPr>
          <w:rFonts w:asciiTheme="minorHAnsi" w:hAnsiTheme="minorHAnsi" w:cstheme="minorHAnsi"/>
          <w:sz w:val="22"/>
          <w:szCs w:val="22"/>
        </w:rPr>
      </w:pPr>
    </w:p>
    <w:p w14:paraId="403B1774" w14:textId="317CDE06" w:rsidR="004A3F00" w:rsidRDefault="004A3F00" w:rsidP="00B25F10">
      <w:pPr>
        <w:pStyle w:val="Textonotapie"/>
        <w:numPr>
          <w:ilvl w:val="0"/>
          <w:numId w:val="7"/>
        </w:numPr>
        <w:spacing w:before="0" w:after="0"/>
        <w:ind w:left="993"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8"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Minem incluyó a</w:t>
      </w:r>
      <w:r w:rsidRPr="004A3F00">
        <w:rPr>
          <w:rFonts w:asciiTheme="minorHAnsi" w:hAnsiTheme="minorHAnsi" w:cstheme="minorHAnsi"/>
          <w:sz w:val="22"/>
          <w:szCs w:val="22"/>
        </w:rPr>
        <w:t>l Gas Licuado de Petróleo destinado para envasado (</w:t>
      </w:r>
      <w:hyperlink r:id="rId9"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7DB8F01E" w14:textId="77777777" w:rsidR="004A3F00" w:rsidRDefault="004A3F00" w:rsidP="004A3F00">
      <w:pPr>
        <w:pStyle w:val="Prrafodelista"/>
        <w:rPr>
          <w:rFonts w:asciiTheme="minorHAnsi" w:hAnsiTheme="minorHAnsi" w:cstheme="minorHAnsi"/>
          <w:sz w:val="22"/>
          <w:szCs w:val="22"/>
        </w:rPr>
      </w:pPr>
    </w:p>
    <w:p w14:paraId="61EEA127" w14:textId="45DBC893" w:rsidR="00994DCA" w:rsidRDefault="00EA6DF1" w:rsidP="00B25F10">
      <w:pPr>
        <w:pStyle w:val="Prrafodelista"/>
        <w:ind w:left="993"/>
        <w:rPr>
          <w:rFonts w:asciiTheme="minorHAnsi" w:hAnsiTheme="minorHAnsi" w:cstheme="minorHAnsi"/>
          <w:sz w:val="22"/>
          <w:szCs w:val="22"/>
        </w:rPr>
      </w:pPr>
      <w:r w:rsidRPr="00F0631D">
        <w:rPr>
          <w:rFonts w:asciiTheme="minorHAnsi" w:hAnsiTheme="minorHAnsi" w:cstheme="minorHAnsi"/>
          <w:sz w:val="22"/>
          <w:szCs w:val="22"/>
        </w:rPr>
        <w:t>A partir de la entrada en vigencia del presente Decreto Supremo, la Banda de Pre</w:t>
      </w:r>
      <w:r w:rsidR="00F0631D" w:rsidRPr="00F0631D">
        <w:rPr>
          <w:rFonts w:asciiTheme="minorHAnsi" w:hAnsiTheme="minorHAnsi" w:cstheme="minorHAnsi"/>
          <w:sz w:val="22"/>
          <w:szCs w:val="22"/>
        </w:rPr>
        <w:t>cios Objetivo del GLP – E inició</w:t>
      </w:r>
      <w:r w:rsidRPr="00F0631D">
        <w:rPr>
          <w:rFonts w:asciiTheme="minorHAnsi" w:hAnsiTheme="minorHAnsi" w:cstheme="minorHAnsi"/>
          <w:sz w:val="22"/>
          <w:szCs w:val="22"/>
        </w:rPr>
        <w:t xml:space="preserve"> co</w:t>
      </w:r>
      <w:r w:rsidR="00CF2529">
        <w:rPr>
          <w:rFonts w:asciiTheme="minorHAnsi" w:hAnsiTheme="minorHAnsi" w:cstheme="minorHAnsi"/>
          <w:sz w:val="22"/>
          <w:szCs w:val="22"/>
        </w:rPr>
        <w:t>n un límite superior de</w:t>
      </w:r>
      <w:r w:rsidR="00F0631D" w:rsidRPr="00F0631D">
        <w:rPr>
          <w:rFonts w:asciiTheme="minorHAnsi" w:hAnsiTheme="minorHAnsi" w:cstheme="minorHAnsi"/>
          <w:sz w:val="22"/>
          <w:szCs w:val="22"/>
        </w:rPr>
        <w:t xml:space="preserve"> </w:t>
      </w:r>
      <w:r w:rsidRPr="00F0631D">
        <w:rPr>
          <w:rFonts w:asciiTheme="minorHAnsi" w:hAnsiTheme="minorHAnsi" w:cstheme="minorHAnsi"/>
          <w:sz w:val="22"/>
          <w:szCs w:val="22"/>
        </w:rPr>
        <w:t xml:space="preserve">1.95 </w:t>
      </w:r>
      <w:r w:rsidR="00F0631D" w:rsidRPr="00F0631D">
        <w:rPr>
          <w:rFonts w:asciiTheme="minorHAnsi" w:hAnsiTheme="minorHAnsi" w:cstheme="minorHAnsi"/>
          <w:sz w:val="22"/>
          <w:szCs w:val="22"/>
        </w:rPr>
        <w:t>S/Kg.</w:t>
      </w:r>
      <w:r w:rsidR="00CF2529">
        <w:rPr>
          <w:rFonts w:asciiTheme="minorHAnsi" w:hAnsiTheme="minorHAnsi" w:cstheme="minorHAnsi"/>
          <w:sz w:val="22"/>
          <w:szCs w:val="22"/>
        </w:rPr>
        <w:t xml:space="preserve"> y un límite inferior de 1.89 S/Kg.</w:t>
      </w:r>
    </w:p>
    <w:p w14:paraId="20BDE939" w14:textId="341BAE1F" w:rsidR="004B0276" w:rsidRPr="002D493D" w:rsidRDefault="004B0276" w:rsidP="00B25F10">
      <w:pPr>
        <w:pStyle w:val="Textonotapie"/>
        <w:numPr>
          <w:ilvl w:val="0"/>
          <w:numId w:val="7"/>
        </w:numPr>
        <w:spacing w:before="0" w:after="0"/>
        <w:ind w:left="993"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EE7853F" w14:textId="4A45E47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w:t>
      </w:r>
      <w:r>
        <w:rPr>
          <w:rFonts w:asciiTheme="minorHAnsi" w:hAnsiTheme="minorHAnsi" w:cstheme="minorHAnsi"/>
          <w:sz w:val="22"/>
          <w:szCs w:val="22"/>
        </w:rPr>
        <w:t xml:space="preserve"> de los Precios del Petróleo Crudo y Combustibles de la Costa del Golfo en dólares por barril; así como los Precios Relativos de los Combustibles respecto</w:t>
      </w:r>
      <w:r w:rsidRPr="002B3648">
        <w:rPr>
          <w:rFonts w:asciiTheme="minorHAnsi" w:hAnsiTheme="minorHAnsi" w:cstheme="minorHAnsi"/>
          <w:sz w:val="22"/>
          <w:szCs w:val="22"/>
        </w:rPr>
        <w:t xml:space="preserve"> al </w:t>
      </w:r>
      <w:r>
        <w:rPr>
          <w:rFonts w:asciiTheme="minorHAnsi" w:hAnsiTheme="minorHAnsi" w:cstheme="minorHAnsi"/>
          <w:sz w:val="22"/>
          <w:szCs w:val="22"/>
        </w:rPr>
        <w:t xml:space="preserve">Crudo </w:t>
      </w:r>
      <w:r w:rsidRPr="002B3648">
        <w:rPr>
          <w:rFonts w:asciiTheme="minorHAnsi" w:hAnsiTheme="minorHAnsi" w:cstheme="minorHAnsi"/>
          <w:sz w:val="22"/>
          <w:szCs w:val="22"/>
        </w:rPr>
        <w:t xml:space="preserve">WTI. </w:t>
      </w:r>
    </w:p>
    <w:p w14:paraId="7659F347" w14:textId="77777777" w:rsidR="00AC53F6" w:rsidRPr="002B3648" w:rsidRDefault="00AC53F6" w:rsidP="00A611A5">
      <w:pPr>
        <w:ind w:left="284"/>
        <w:jc w:val="both"/>
        <w:rPr>
          <w:rFonts w:asciiTheme="minorHAnsi" w:hAnsiTheme="minorHAnsi" w:cstheme="minorHAnsi"/>
          <w:sz w:val="22"/>
          <w:szCs w:val="22"/>
        </w:rPr>
      </w:pPr>
    </w:p>
    <w:p w14:paraId="12EFCB88" w14:textId="77777777" w:rsidR="00A611A5" w:rsidRPr="002B3648"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Pr="002B3648">
        <w:rPr>
          <w:rStyle w:val="Refdenotaalpie"/>
          <w:rFonts w:asciiTheme="minorHAnsi" w:hAnsiTheme="minorHAnsi" w:cstheme="minorHAnsi"/>
          <w:sz w:val="22"/>
          <w:szCs w:val="22"/>
        </w:rPr>
        <w:footnoteReference w:id="3"/>
      </w:r>
      <w:r w:rsidRPr="002B3648">
        <w:rPr>
          <w:rFonts w:asciiTheme="minorHAnsi" w:hAnsiTheme="minorHAnsi" w:cstheme="minorHAnsi"/>
          <w:sz w:val="22"/>
          <w:szCs w:val="22"/>
        </w:rPr>
        <w:t xml:space="preserve"> se hace con el objeto de mostrar el efecto del precio del petróleo crudo en la formación de precios de los productos y la incidencia de factores exógenos.</w:t>
      </w:r>
    </w:p>
    <w:p w14:paraId="5F03BE86" w14:textId="77777777" w:rsidR="00A611A5" w:rsidRPr="002B3648" w:rsidRDefault="00A611A5" w:rsidP="00A611A5">
      <w:pPr>
        <w:ind w:left="540"/>
        <w:jc w:val="both"/>
        <w:rPr>
          <w:rFonts w:asciiTheme="minorHAnsi" w:hAnsiTheme="minorHAnsi" w:cstheme="minorHAnsi"/>
          <w:sz w:val="22"/>
          <w:szCs w:val="22"/>
        </w:rPr>
      </w:pPr>
    </w:p>
    <w:p w14:paraId="2DB0F27F" w14:textId="30536935" w:rsidR="00A611A5" w:rsidRPr="002B3648" w:rsidRDefault="00A611A5" w:rsidP="00A611A5">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1916A4">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sidR="00D45277">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sidR="001916A4">
        <w:rPr>
          <w:rFonts w:asciiTheme="minorHAnsi" w:hAnsiTheme="minorHAnsi" w:cstheme="minorHAnsi"/>
          <w:i/>
          <w:sz w:val="20"/>
          <w:szCs w:val="20"/>
        </w:rPr>
        <w:t>ustibles en la Costa del Golfo de EE.UU.</w:t>
      </w:r>
    </w:p>
    <w:p w14:paraId="5A881DEC" w14:textId="42E99EF6" w:rsidR="00A611A5" w:rsidRPr="002B3648" w:rsidRDefault="00223B4E" w:rsidP="00A611A5">
      <w:pPr>
        <w:pBdr>
          <w:top w:val="single" w:sz="4" w:space="1" w:color="auto"/>
          <w:bottom w:val="single" w:sz="4" w:space="1" w:color="auto"/>
        </w:pBdr>
        <w:ind w:left="284"/>
        <w:jc w:val="both"/>
        <w:rPr>
          <w:rFonts w:asciiTheme="minorHAnsi" w:hAnsiTheme="minorHAnsi" w:cstheme="minorHAnsi"/>
          <w:sz w:val="22"/>
          <w:szCs w:val="22"/>
        </w:rPr>
      </w:pPr>
      <w:r w:rsidRPr="00223B4E">
        <w:rPr>
          <w:noProof/>
          <w:lang w:val="en-US" w:eastAsia="en-US"/>
        </w:rPr>
        <w:drawing>
          <wp:inline distT="0" distB="0" distL="0" distR="0" wp14:anchorId="29804AC8" wp14:editId="7247A0A4">
            <wp:extent cx="5279487" cy="326248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1554" cy="3282304"/>
                    </a:xfrm>
                    <a:prstGeom prst="rect">
                      <a:avLst/>
                    </a:prstGeom>
                    <a:noFill/>
                    <a:ln>
                      <a:noFill/>
                    </a:ln>
                  </pic:spPr>
                </pic:pic>
              </a:graphicData>
            </a:graphic>
          </wp:inline>
        </w:drawing>
      </w:r>
    </w:p>
    <w:p w14:paraId="5239FD90" w14:textId="7256DD89" w:rsidR="00A611A5" w:rsidRDefault="00A611A5" w:rsidP="00A611A5">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271A427" w14:textId="77777777" w:rsidR="00D63047" w:rsidRDefault="00D63047" w:rsidP="00A611A5">
      <w:pPr>
        <w:rPr>
          <w:rFonts w:asciiTheme="minorHAnsi" w:hAnsiTheme="minorHAnsi" w:cstheme="minorHAnsi"/>
          <w:sz w:val="22"/>
          <w:szCs w:val="22"/>
        </w:rPr>
      </w:pPr>
    </w:p>
    <w:p w14:paraId="64DF8741" w14:textId="18E536D9" w:rsidR="00D63047"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Según se observa en</w:t>
      </w:r>
      <w:r w:rsidR="00D63047">
        <w:rPr>
          <w:rFonts w:asciiTheme="minorHAnsi" w:hAnsiTheme="minorHAnsi" w:cstheme="minorHAnsi"/>
          <w:sz w:val="22"/>
          <w:szCs w:val="22"/>
        </w:rPr>
        <w:t xml:space="preserve"> la Gráfica N°</w:t>
      </w:r>
      <w:r>
        <w:rPr>
          <w:rFonts w:asciiTheme="minorHAnsi" w:hAnsiTheme="minorHAnsi" w:cstheme="minorHAnsi"/>
          <w:sz w:val="22"/>
          <w:szCs w:val="22"/>
        </w:rPr>
        <w:t>1;</w:t>
      </w:r>
      <w:r w:rsidR="00D63047">
        <w:rPr>
          <w:rFonts w:asciiTheme="minorHAnsi" w:hAnsiTheme="minorHAnsi" w:cstheme="minorHAnsi"/>
          <w:sz w:val="22"/>
          <w:szCs w:val="22"/>
        </w:rPr>
        <w:t xml:space="preserve"> a partir de enero 2021, los precios del </w:t>
      </w:r>
      <w:r>
        <w:rPr>
          <w:rFonts w:asciiTheme="minorHAnsi" w:hAnsiTheme="minorHAnsi" w:cstheme="minorHAnsi"/>
          <w:sz w:val="22"/>
          <w:szCs w:val="22"/>
        </w:rPr>
        <w:t xml:space="preserve">petróleo </w:t>
      </w:r>
      <w:r w:rsidR="00D63047">
        <w:rPr>
          <w:rFonts w:asciiTheme="minorHAnsi" w:hAnsiTheme="minorHAnsi" w:cstheme="minorHAnsi"/>
          <w:sz w:val="22"/>
          <w:szCs w:val="22"/>
        </w:rPr>
        <w:t>crudo y combustibles comenzaron a recuperarse, luego de la crisis generada por la pandemia del Coronavirus</w:t>
      </w:r>
      <w:r w:rsidR="008A5C7D">
        <w:rPr>
          <w:rFonts w:asciiTheme="minorHAnsi" w:hAnsiTheme="minorHAnsi" w:cstheme="minorHAnsi"/>
          <w:sz w:val="22"/>
          <w:szCs w:val="22"/>
        </w:rPr>
        <w:t xml:space="preserve"> en el año 2020</w:t>
      </w:r>
      <w:r w:rsidR="00D63047">
        <w:rPr>
          <w:rFonts w:asciiTheme="minorHAnsi" w:hAnsiTheme="minorHAnsi" w:cstheme="minorHAnsi"/>
          <w:sz w:val="22"/>
          <w:szCs w:val="22"/>
        </w:rPr>
        <w:t>, registrando al cierre de julio 2021, una tendencia ascendente.</w:t>
      </w:r>
    </w:p>
    <w:p w14:paraId="5C990A83" w14:textId="77777777" w:rsidR="00415238" w:rsidRDefault="00415238" w:rsidP="00AC53F6">
      <w:pPr>
        <w:ind w:left="284"/>
        <w:jc w:val="both"/>
        <w:rPr>
          <w:rFonts w:asciiTheme="minorHAnsi" w:hAnsiTheme="minorHAnsi" w:cstheme="minorHAnsi"/>
          <w:sz w:val="22"/>
          <w:szCs w:val="22"/>
        </w:rPr>
      </w:pPr>
    </w:p>
    <w:p w14:paraId="31542AA1" w14:textId="323CB094" w:rsidR="009F416E"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En el presente año, el precio del crudo</w:t>
      </w:r>
      <w:r w:rsidR="00415238">
        <w:rPr>
          <w:rFonts w:asciiTheme="minorHAnsi" w:hAnsiTheme="minorHAnsi" w:cstheme="minorHAnsi"/>
          <w:sz w:val="22"/>
          <w:szCs w:val="22"/>
        </w:rPr>
        <w:t xml:space="preserve"> llegó a ubicarse</w:t>
      </w:r>
      <w:r w:rsidR="008A5C7D">
        <w:rPr>
          <w:rFonts w:asciiTheme="minorHAnsi" w:hAnsiTheme="minorHAnsi" w:cstheme="minorHAnsi"/>
          <w:sz w:val="22"/>
          <w:szCs w:val="22"/>
        </w:rPr>
        <w:t xml:space="preserve"> en </w:t>
      </w:r>
      <w:r w:rsidR="000A6597">
        <w:rPr>
          <w:rFonts w:asciiTheme="minorHAnsi" w:hAnsiTheme="minorHAnsi" w:cstheme="minorHAnsi"/>
          <w:sz w:val="22"/>
          <w:szCs w:val="22"/>
        </w:rPr>
        <w:t xml:space="preserve">un nivel máximo de 75.25 US$/Bl, las gasolinas </w:t>
      </w:r>
      <w:r w:rsidR="00415238">
        <w:rPr>
          <w:rFonts w:asciiTheme="minorHAnsi" w:hAnsiTheme="minorHAnsi" w:cstheme="minorHAnsi"/>
          <w:sz w:val="22"/>
          <w:szCs w:val="22"/>
        </w:rPr>
        <w:t>alcanzaron</w:t>
      </w:r>
      <w:r w:rsidR="000A6597">
        <w:rPr>
          <w:rFonts w:asciiTheme="minorHAnsi" w:hAnsiTheme="minorHAnsi" w:cstheme="minorHAnsi"/>
          <w:sz w:val="22"/>
          <w:szCs w:val="22"/>
        </w:rPr>
        <w:t xml:space="preserve"> niveles superiores a los 95 US$/Bl; mientras que los destilados medios</w:t>
      </w:r>
      <w:r w:rsidR="00415238">
        <w:rPr>
          <w:rFonts w:asciiTheme="minorHAnsi" w:hAnsiTheme="minorHAnsi" w:cstheme="minorHAnsi"/>
          <w:sz w:val="22"/>
          <w:szCs w:val="22"/>
        </w:rPr>
        <w:t xml:space="preserve"> registraron</w:t>
      </w:r>
      <w:r w:rsidR="000A6597">
        <w:rPr>
          <w:rFonts w:asciiTheme="minorHAnsi" w:hAnsiTheme="minorHAnsi" w:cstheme="minorHAnsi"/>
          <w:sz w:val="22"/>
          <w:szCs w:val="22"/>
        </w:rPr>
        <w:t xml:space="preserve"> cotizaciones por encima de los 82 US$/Bl.</w:t>
      </w:r>
    </w:p>
    <w:p w14:paraId="5D4ED9A2" w14:textId="77777777" w:rsidR="00470CF5" w:rsidRDefault="00470CF5" w:rsidP="00AC53F6">
      <w:pPr>
        <w:ind w:left="284"/>
        <w:jc w:val="both"/>
        <w:rPr>
          <w:rFonts w:asciiTheme="minorHAnsi" w:hAnsiTheme="minorHAnsi" w:cstheme="minorHAnsi"/>
          <w:sz w:val="22"/>
          <w:szCs w:val="22"/>
        </w:rPr>
      </w:pPr>
    </w:p>
    <w:p w14:paraId="76DA3A5B" w14:textId="045B9435" w:rsidR="00470CF5" w:rsidRDefault="00470CF5" w:rsidP="00AC53F6">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sidR="00A868A4">
        <w:rPr>
          <w:rFonts w:asciiTheme="minorHAnsi" w:hAnsiTheme="minorHAnsi" w:cstheme="minorHAnsi"/>
          <w:sz w:val="22"/>
          <w:szCs w:val="22"/>
        </w:rPr>
        <w:t>en el mercado del petróleo cambiaron</w:t>
      </w:r>
      <w:r>
        <w:rPr>
          <w:rFonts w:asciiTheme="minorHAnsi" w:hAnsiTheme="minorHAnsi" w:cstheme="minorHAnsi"/>
          <w:sz w:val="22"/>
          <w:szCs w:val="22"/>
        </w:rPr>
        <w:t xml:space="preserve">, </w:t>
      </w:r>
      <w:r w:rsidR="004B09F2">
        <w:rPr>
          <w:rFonts w:asciiTheme="minorHAnsi" w:hAnsiTheme="minorHAnsi" w:cstheme="minorHAnsi"/>
          <w:sz w:val="22"/>
          <w:szCs w:val="22"/>
        </w:rPr>
        <w:t>respecto al mes de Julio 2021; debido principalmente al impacto de la variante Delta del Coronavirus.</w:t>
      </w:r>
    </w:p>
    <w:p w14:paraId="22E077D1" w14:textId="4FB095F1" w:rsidR="00470CF5" w:rsidRDefault="00470CF5" w:rsidP="00AC53F6">
      <w:pPr>
        <w:ind w:left="284"/>
        <w:jc w:val="both"/>
        <w:rPr>
          <w:rFonts w:asciiTheme="minorHAnsi" w:hAnsiTheme="minorHAnsi" w:cstheme="minorHAnsi"/>
          <w:sz w:val="22"/>
          <w:szCs w:val="22"/>
        </w:rPr>
      </w:pPr>
      <w:r w:rsidRPr="00470CF5">
        <w:rPr>
          <w:rFonts w:asciiTheme="minorHAnsi" w:hAnsiTheme="minorHAnsi" w:cstheme="minorHAnsi"/>
          <w:sz w:val="22"/>
          <w:szCs w:val="22"/>
        </w:rPr>
        <w:t>La variante Delta del Coronavirus está ca</w:t>
      </w:r>
      <w:r w:rsidR="00056628">
        <w:rPr>
          <w:rFonts w:asciiTheme="minorHAnsi" w:hAnsiTheme="minorHAnsi" w:cstheme="minorHAnsi"/>
          <w:sz w:val="22"/>
          <w:szCs w:val="22"/>
        </w:rPr>
        <w:t>usando estragos a nivel global</w:t>
      </w:r>
      <w:r w:rsidRPr="00470CF5">
        <w:rPr>
          <w:rFonts w:asciiTheme="minorHAnsi" w:hAnsiTheme="minorHAnsi" w:cstheme="minorHAnsi"/>
          <w:sz w:val="22"/>
          <w:szCs w:val="22"/>
        </w:rPr>
        <w:t xml:space="preserve">, incluso en las dos mayores economías, </w:t>
      </w:r>
      <w:r w:rsidR="00056628">
        <w:rPr>
          <w:rFonts w:asciiTheme="minorHAnsi" w:hAnsiTheme="minorHAnsi" w:cstheme="minorHAnsi"/>
          <w:sz w:val="22"/>
          <w:szCs w:val="22"/>
        </w:rPr>
        <w:t>China y Estados Unidos; retrasando</w:t>
      </w:r>
      <w:r w:rsidRPr="00470CF5">
        <w:rPr>
          <w:rFonts w:asciiTheme="minorHAnsi" w:hAnsiTheme="minorHAnsi" w:cstheme="minorHAnsi"/>
          <w:sz w:val="22"/>
          <w:szCs w:val="22"/>
        </w:rPr>
        <w:t xml:space="preserve"> la reactivación que habían experimentado los precios del petróleo durante la pandemia.</w:t>
      </w:r>
    </w:p>
    <w:p w14:paraId="2B43DAAF" w14:textId="7613CB5E" w:rsidR="00A611A5" w:rsidRPr="002B3648" w:rsidRDefault="00A611A5" w:rsidP="00A611A5">
      <w:pPr>
        <w:ind w:left="426"/>
        <w:jc w:val="both"/>
        <w:rPr>
          <w:rFonts w:asciiTheme="minorHAnsi" w:hAnsiTheme="minorHAnsi" w:cstheme="minorHAnsi"/>
          <w:i/>
          <w:sz w:val="20"/>
          <w:szCs w:val="20"/>
        </w:rPr>
      </w:pPr>
      <w:r>
        <w:rPr>
          <w:rFonts w:asciiTheme="minorHAnsi" w:hAnsiTheme="minorHAnsi" w:cstheme="minorHAnsi"/>
          <w:b/>
          <w:i/>
          <w:sz w:val="20"/>
          <w:szCs w:val="20"/>
        </w:rPr>
        <w:lastRenderedPageBreak/>
        <w:t>GRÁFICA N° 2</w:t>
      </w:r>
      <w:r w:rsidRPr="002B3648">
        <w:rPr>
          <w:rFonts w:asciiTheme="minorHAnsi" w:hAnsiTheme="minorHAnsi" w:cstheme="minorHAnsi"/>
          <w:i/>
          <w:sz w:val="20"/>
          <w:szCs w:val="20"/>
        </w:rPr>
        <w:t>: Precios Relativos de los Combustibles en USGC respecto al WTI</w:t>
      </w:r>
    </w:p>
    <w:p w14:paraId="733BB47E" w14:textId="418405B4" w:rsidR="00E03194" w:rsidRPr="002B3648" w:rsidRDefault="00E03194" w:rsidP="00A611A5">
      <w:pPr>
        <w:pBdr>
          <w:top w:val="single" w:sz="4" w:space="1" w:color="auto"/>
          <w:bottom w:val="single" w:sz="4" w:space="1" w:color="auto"/>
        </w:pBdr>
        <w:ind w:left="426"/>
        <w:jc w:val="both"/>
        <w:rPr>
          <w:rFonts w:asciiTheme="minorHAnsi" w:hAnsiTheme="minorHAnsi" w:cstheme="minorHAnsi"/>
          <w:sz w:val="20"/>
          <w:szCs w:val="20"/>
        </w:rPr>
      </w:pPr>
      <w:bookmarkStart w:id="0" w:name="_GoBack"/>
      <w:bookmarkEnd w:id="0"/>
      <w:r w:rsidRPr="00E03194">
        <w:rPr>
          <w:noProof/>
          <w:lang w:val="en-US" w:eastAsia="en-US"/>
        </w:rPr>
        <w:drawing>
          <wp:inline distT="0" distB="0" distL="0" distR="0" wp14:anchorId="10F1D9D4" wp14:editId="00DBABCD">
            <wp:extent cx="5170311" cy="3294720"/>
            <wp:effectExtent l="0" t="0" r="0" b="127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2004" cy="3308543"/>
                    </a:xfrm>
                    <a:prstGeom prst="rect">
                      <a:avLst/>
                    </a:prstGeom>
                    <a:noFill/>
                    <a:ln>
                      <a:noFill/>
                    </a:ln>
                  </pic:spPr>
                </pic:pic>
              </a:graphicData>
            </a:graphic>
          </wp:inline>
        </w:drawing>
      </w:r>
    </w:p>
    <w:p w14:paraId="776212D4" w14:textId="01AFB2A2" w:rsidR="00A611A5" w:rsidRPr="002B3648" w:rsidRDefault="00A611A5" w:rsidP="00A611A5">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34E8536" w14:textId="0153A3B3" w:rsidR="00A611A5" w:rsidRDefault="00A611A5" w:rsidP="00A611A5">
      <w:pPr>
        <w:ind w:left="284"/>
        <w:jc w:val="both"/>
        <w:rPr>
          <w:rFonts w:asciiTheme="minorHAnsi" w:hAnsiTheme="minorHAnsi" w:cstheme="minorHAnsi"/>
          <w:i/>
        </w:rPr>
      </w:pPr>
      <w:r w:rsidRPr="002B3648">
        <w:rPr>
          <w:rFonts w:asciiTheme="minorHAnsi" w:hAnsiTheme="minorHAnsi" w:cstheme="minorHAnsi"/>
          <w:i/>
        </w:rPr>
        <w:br w:type="page"/>
      </w:r>
    </w:p>
    <w:p w14:paraId="0F58B3AD" w14:textId="17259EDA" w:rsidR="00E03194" w:rsidRDefault="00E03194" w:rsidP="00A611A5">
      <w:pPr>
        <w:ind w:left="284"/>
        <w:jc w:val="both"/>
        <w:rPr>
          <w:rFonts w:asciiTheme="minorHAnsi" w:hAnsiTheme="minorHAnsi" w:cstheme="minorHAnsi"/>
          <w:i/>
        </w:rPr>
      </w:pPr>
    </w:p>
    <w:p w14:paraId="194BDA8E" w14:textId="77777777" w:rsidR="00E03194" w:rsidRDefault="00E03194" w:rsidP="00A611A5">
      <w:pPr>
        <w:ind w:left="284"/>
        <w:jc w:val="both"/>
        <w:rPr>
          <w:rFonts w:asciiTheme="minorHAnsi" w:hAnsiTheme="minorHAnsi" w:cstheme="minorHAnsi"/>
          <w:sz w:val="22"/>
          <w:szCs w:val="22"/>
        </w:rPr>
      </w:pPr>
    </w:p>
    <w:p w14:paraId="0DE4982E" w14:textId="089F342C" w:rsidR="00AF270F" w:rsidRPr="00EE39E2" w:rsidRDefault="00AF270F"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EE39E2">
        <w:rPr>
          <w:rFonts w:asciiTheme="minorHAnsi" w:hAnsiTheme="minorHAnsi" w:cstheme="minorHAnsi"/>
          <w:b/>
          <w:sz w:val="24"/>
          <w:szCs w:val="24"/>
        </w:rPr>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7DBC24F7" w:rsidR="00AF270F" w:rsidRPr="002B3648" w:rsidRDefault="00F27BD1" w:rsidP="00222F9D">
      <w:pPr>
        <w:ind w:left="1134" w:right="-567"/>
        <w:rPr>
          <w:rFonts w:asciiTheme="minorHAnsi" w:hAnsiTheme="minorHAnsi" w:cstheme="minorHAnsi"/>
        </w:rPr>
      </w:pPr>
      <w:r>
        <w:rPr>
          <w:rFonts w:asciiTheme="minorHAnsi" w:hAnsiTheme="minorHAnsi" w:cstheme="minorHAnsi"/>
          <w:b/>
          <w:i/>
          <w:sz w:val="20"/>
          <w:szCs w:val="20"/>
        </w:rPr>
        <w:t>TABLA N° 1</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1600A14C" w:rsidR="00F72B85" w:rsidRPr="002B3648" w:rsidRDefault="006D4BA0" w:rsidP="00222F9D">
            <w:pPr>
              <w:ind w:left="-618" w:right="-654"/>
              <w:jc w:val="center"/>
              <w:rPr>
                <w:rFonts w:asciiTheme="minorHAnsi" w:hAnsiTheme="minorHAnsi" w:cstheme="minorHAnsi"/>
              </w:rPr>
            </w:pPr>
            <w:r w:rsidRPr="006D4BA0">
              <w:rPr>
                <w:rFonts w:asciiTheme="minorHAnsi" w:hAnsiTheme="minorHAnsi" w:cstheme="minorHAnsi"/>
                <w:noProof/>
                <w:lang w:val="en-US" w:eastAsia="en-US"/>
              </w:rPr>
              <w:drawing>
                <wp:inline distT="0" distB="0" distL="0" distR="0" wp14:anchorId="4E63F1CC" wp14:editId="6ADF5D06">
                  <wp:extent cx="3526155" cy="3259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155" cy="3259455"/>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721CA688"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F27BD1">
        <w:rPr>
          <w:rFonts w:asciiTheme="minorHAnsi" w:hAnsiTheme="minorHAnsi" w:cstheme="minorHAnsi"/>
          <w:b/>
          <w:i/>
          <w:sz w:val="20"/>
          <w:szCs w:val="20"/>
        </w:rPr>
        <w:t>FICA N°3</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6D4BA0">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0A642C2E" w:rsidR="00712D3B" w:rsidRPr="002B3648" w:rsidRDefault="00DB468C" w:rsidP="004F3957">
            <w:pPr>
              <w:ind w:left="-634" w:right="-654"/>
              <w:jc w:val="center"/>
              <w:rPr>
                <w:rFonts w:asciiTheme="minorHAnsi" w:hAnsiTheme="minorHAnsi" w:cstheme="minorHAnsi"/>
              </w:rPr>
            </w:pPr>
            <w:r w:rsidRPr="00DB468C">
              <w:rPr>
                <w:rFonts w:asciiTheme="minorHAnsi" w:hAnsiTheme="minorHAnsi" w:cstheme="minorHAnsi"/>
                <w:noProof/>
                <w:lang w:val="en-US" w:eastAsia="en-US"/>
              </w:rPr>
              <w:drawing>
                <wp:inline distT="0" distB="0" distL="0" distR="0" wp14:anchorId="10868CBB" wp14:editId="6EAA992D">
                  <wp:extent cx="5624195" cy="22860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4499" cy="2290188"/>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760E7FA2"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A53F01">
        <w:rPr>
          <w:rFonts w:asciiTheme="minorHAnsi" w:hAnsiTheme="minorHAnsi" w:cstheme="minorHAnsi"/>
          <w:sz w:val="22"/>
          <w:szCs w:val="22"/>
        </w:rPr>
        <w:t>aument</w:t>
      </w:r>
      <w:r w:rsidR="009E6378">
        <w:rPr>
          <w:rFonts w:asciiTheme="minorHAnsi" w:hAnsiTheme="minorHAnsi" w:cstheme="minorHAnsi"/>
          <w:sz w:val="22"/>
          <w:szCs w:val="22"/>
        </w:rPr>
        <w:t xml:space="preserve">ó </w:t>
      </w:r>
      <w:r w:rsidR="00A53F01">
        <w:rPr>
          <w:rFonts w:asciiTheme="minorHAnsi" w:hAnsiTheme="minorHAnsi" w:cstheme="minorHAnsi"/>
          <w:sz w:val="22"/>
          <w:szCs w:val="22"/>
        </w:rPr>
        <w:t>2.</w:t>
      </w:r>
      <w:r w:rsidR="006D4BA0">
        <w:rPr>
          <w:rFonts w:asciiTheme="minorHAnsi" w:hAnsiTheme="minorHAnsi" w:cstheme="minorHAnsi"/>
          <w:sz w:val="22"/>
          <w:szCs w:val="22"/>
        </w:rPr>
        <w:t>63</w:t>
      </w:r>
      <w:r>
        <w:rPr>
          <w:rFonts w:asciiTheme="minorHAnsi" w:hAnsiTheme="minorHAnsi" w:cstheme="minorHAnsi"/>
          <w:sz w:val="22"/>
          <w:szCs w:val="22"/>
        </w:rPr>
        <w:t>%.</w:t>
      </w:r>
    </w:p>
    <w:p w14:paraId="0B0CF897" w14:textId="35FFE384"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EB3F31">
        <w:rPr>
          <w:rFonts w:asciiTheme="minorHAnsi" w:hAnsiTheme="minorHAnsi" w:cstheme="minorHAnsi"/>
          <w:sz w:val="22"/>
          <w:szCs w:val="22"/>
        </w:rPr>
        <w:t>se elevó</w:t>
      </w:r>
      <w:r w:rsidR="006507A3">
        <w:rPr>
          <w:rFonts w:asciiTheme="minorHAnsi" w:hAnsiTheme="minorHAnsi" w:cstheme="minorHAnsi"/>
          <w:sz w:val="22"/>
          <w:szCs w:val="22"/>
        </w:rPr>
        <w:t xml:space="preserve"> </w:t>
      </w:r>
      <w:r w:rsidR="006D4BA0">
        <w:rPr>
          <w:rFonts w:asciiTheme="minorHAnsi" w:hAnsiTheme="minorHAnsi" w:cstheme="minorHAnsi"/>
          <w:sz w:val="22"/>
          <w:szCs w:val="22"/>
        </w:rPr>
        <w:t>1.42</w:t>
      </w:r>
      <w:r w:rsidR="006507A3">
        <w:rPr>
          <w:rFonts w:asciiTheme="minorHAnsi" w:hAnsiTheme="minorHAnsi" w:cstheme="minorHAnsi"/>
          <w:sz w:val="22"/>
          <w:szCs w:val="22"/>
        </w:rPr>
        <w:t>%</w:t>
      </w:r>
      <w:r>
        <w:rPr>
          <w:rFonts w:asciiTheme="minorHAnsi" w:hAnsiTheme="minorHAnsi" w:cstheme="minorHAnsi"/>
          <w:sz w:val="22"/>
          <w:szCs w:val="22"/>
        </w:rPr>
        <w:t>.</w:t>
      </w:r>
    </w:p>
    <w:p w14:paraId="0BA97B2C" w14:textId="3E9FB124"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A53F01">
        <w:rPr>
          <w:rFonts w:asciiTheme="minorHAnsi" w:hAnsiTheme="minorHAnsi" w:cstheme="minorHAnsi"/>
          <w:sz w:val="22"/>
          <w:szCs w:val="22"/>
        </w:rPr>
        <w:t xml:space="preserve">subió </w:t>
      </w:r>
      <w:r w:rsidR="006D4BA0">
        <w:rPr>
          <w:rFonts w:asciiTheme="minorHAnsi" w:hAnsiTheme="minorHAnsi" w:cstheme="minorHAnsi"/>
          <w:sz w:val="22"/>
          <w:szCs w:val="22"/>
        </w:rPr>
        <w:t>1.76</w:t>
      </w:r>
      <w:r w:rsidR="00A53F01">
        <w:rPr>
          <w:rFonts w:asciiTheme="minorHAnsi" w:hAnsiTheme="minorHAnsi" w:cstheme="minorHAnsi"/>
          <w:sz w:val="22"/>
          <w:szCs w:val="22"/>
        </w:rPr>
        <w:t>%</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6D4BA0">
        <w:rPr>
          <w:rFonts w:asciiTheme="minorHAnsi" w:hAnsiTheme="minorHAnsi" w:cstheme="minorHAnsi"/>
          <w:sz w:val="22"/>
          <w:szCs w:val="22"/>
        </w:rPr>
        <w:t>2.79</w:t>
      </w:r>
      <w:r>
        <w:rPr>
          <w:rFonts w:asciiTheme="minorHAnsi" w:hAnsiTheme="minorHAnsi" w:cstheme="minorHAnsi"/>
          <w:sz w:val="22"/>
          <w:szCs w:val="22"/>
        </w:rPr>
        <w:t>%.</w:t>
      </w:r>
    </w:p>
    <w:p w14:paraId="7FE6F0F1" w14:textId="01D86226"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6518E1">
        <w:rPr>
          <w:rFonts w:asciiTheme="minorHAnsi" w:hAnsiTheme="minorHAnsi" w:cstheme="minorHAnsi"/>
          <w:sz w:val="22"/>
          <w:szCs w:val="22"/>
        </w:rPr>
        <w:t>aumenta</w:t>
      </w:r>
      <w:r w:rsidR="007345C6">
        <w:rPr>
          <w:rFonts w:asciiTheme="minorHAnsi" w:hAnsiTheme="minorHAnsi" w:cstheme="minorHAnsi"/>
          <w:sz w:val="22"/>
          <w:szCs w:val="22"/>
        </w:rPr>
        <w:t xml:space="preserve">ron </w:t>
      </w:r>
      <w:r w:rsidR="006D4BA0">
        <w:rPr>
          <w:rFonts w:asciiTheme="minorHAnsi" w:hAnsiTheme="minorHAnsi" w:cstheme="minorHAnsi"/>
          <w:sz w:val="22"/>
          <w:szCs w:val="22"/>
        </w:rPr>
        <w:t>1.02</w:t>
      </w:r>
      <w:r>
        <w:rPr>
          <w:rFonts w:asciiTheme="minorHAnsi" w:hAnsiTheme="minorHAnsi" w:cstheme="minorHAnsi"/>
          <w:sz w:val="22"/>
          <w:szCs w:val="22"/>
        </w:rPr>
        <w:t>%</w:t>
      </w:r>
      <w:r w:rsidR="006D4BA0">
        <w:rPr>
          <w:rFonts w:asciiTheme="minorHAnsi" w:hAnsiTheme="minorHAnsi" w:cstheme="minorHAnsi"/>
          <w:sz w:val="22"/>
          <w:szCs w:val="22"/>
        </w:rPr>
        <w:t xml:space="preserve"> y 0.88%</w:t>
      </w:r>
      <w:r w:rsidR="006507A3">
        <w:rPr>
          <w:rFonts w:asciiTheme="minorHAnsi" w:hAnsiTheme="minorHAnsi" w:cstheme="minorHAnsi"/>
          <w:sz w:val="22"/>
          <w:szCs w:val="22"/>
        </w:rPr>
        <w:t xml:space="preserve"> </w:t>
      </w:r>
      <w:r w:rsidR="007345C6">
        <w:rPr>
          <w:rFonts w:asciiTheme="minorHAnsi" w:hAnsiTheme="minorHAnsi" w:cstheme="minorHAnsi"/>
          <w:sz w:val="22"/>
          <w:szCs w:val="22"/>
        </w:rPr>
        <w:t>cada uno</w:t>
      </w:r>
      <w:r>
        <w:rPr>
          <w:rFonts w:asciiTheme="minorHAnsi" w:hAnsiTheme="minorHAnsi" w:cstheme="minorHAnsi"/>
          <w:sz w:val="22"/>
          <w:szCs w:val="22"/>
        </w:rPr>
        <w:t>.</w:t>
      </w:r>
    </w:p>
    <w:p w14:paraId="0B1CD942" w14:textId="272E6680"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 xml:space="preserve">tanol) </w:t>
      </w:r>
      <w:r w:rsidR="006D4BA0">
        <w:rPr>
          <w:rFonts w:asciiTheme="minorHAnsi" w:hAnsiTheme="minorHAnsi" w:cstheme="minorHAnsi"/>
          <w:sz w:val="22"/>
          <w:szCs w:val="22"/>
        </w:rPr>
        <w:t>aument</w:t>
      </w:r>
      <w:r w:rsidR="00561411">
        <w:rPr>
          <w:rFonts w:asciiTheme="minorHAnsi" w:hAnsiTheme="minorHAnsi" w:cstheme="minorHAnsi"/>
          <w:sz w:val="22"/>
          <w:szCs w:val="22"/>
        </w:rPr>
        <w:t>ó</w:t>
      </w:r>
      <w:r w:rsidR="006507A3">
        <w:rPr>
          <w:rFonts w:asciiTheme="minorHAnsi" w:hAnsiTheme="minorHAnsi" w:cstheme="minorHAnsi"/>
          <w:sz w:val="22"/>
          <w:szCs w:val="22"/>
        </w:rPr>
        <w:t xml:space="preserve"> </w:t>
      </w:r>
      <w:r w:rsidR="006D4BA0">
        <w:rPr>
          <w:rFonts w:asciiTheme="minorHAnsi" w:hAnsiTheme="minorHAnsi" w:cstheme="minorHAnsi"/>
          <w:sz w:val="22"/>
          <w:szCs w:val="22"/>
        </w:rPr>
        <w:t>2.08</w:t>
      </w:r>
      <w:r w:rsidR="006507A3">
        <w:rPr>
          <w:rFonts w:asciiTheme="minorHAnsi" w:hAnsiTheme="minorHAnsi" w:cstheme="minorHAnsi"/>
          <w:sz w:val="22"/>
          <w:szCs w:val="22"/>
        </w:rPr>
        <w:t>%</w:t>
      </w:r>
      <w:r>
        <w:rPr>
          <w:rFonts w:asciiTheme="minorHAnsi" w:hAnsiTheme="minorHAnsi" w:cstheme="minorHAnsi"/>
          <w:sz w:val="22"/>
          <w:szCs w:val="22"/>
        </w:rPr>
        <w:t xml:space="preserve">, en tanto el </w:t>
      </w:r>
      <w:r w:rsidR="00651BCB">
        <w:rPr>
          <w:rFonts w:asciiTheme="minorHAnsi" w:hAnsiTheme="minorHAnsi" w:cstheme="minorHAnsi"/>
          <w:sz w:val="22"/>
          <w:szCs w:val="22"/>
        </w:rPr>
        <w:t xml:space="preserve">precio del </w:t>
      </w:r>
      <w:r>
        <w:rPr>
          <w:rFonts w:asciiTheme="minorHAnsi" w:hAnsiTheme="minorHAnsi" w:cstheme="minorHAnsi"/>
          <w:sz w:val="22"/>
          <w:szCs w:val="22"/>
        </w:rPr>
        <w:t xml:space="preserve">Biodiesel B100 </w:t>
      </w:r>
      <w:r w:rsidR="00EB3F31">
        <w:rPr>
          <w:rFonts w:asciiTheme="minorHAnsi" w:hAnsiTheme="minorHAnsi" w:cstheme="minorHAnsi"/>
          <w:sz w:val="22"/>
          <w:szCs w:val="22"/>
        </w:rPr>
        <w:t>subió</w:t>
      </w:r>
      <w:r>
        <w:rPr>
          <w:rFonts w:asciiTheme="minorHAnsi" w:hAnsiTheme="minorHAnsi" w:cstheme="minorHAnsi"/>
          <w:sz w:val="22"/>
          <w:szCs w:val="22"/>
        </w:rPr>
        <w:t xml:space="preserve"> </w:t>
      </w:r>
      <w:r w:rsidR="006D4BA0">
        <w:rPr>
          <w:rFonts w:asciiTheme="minorHAnsi" w:hAnsiTheme="minorHAnsi" w:cstheme="minorHAnsi"/>
          <w:sz w:val="22"/>
          <w:szCs w:val="22"/>
        </w:rPr>
        <w:t>3.92</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4470F995"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Se incluye también un ajuste de calidad por número de cetan</w:t>
      </w:r>
      <w:r w:rsidR="0023355E">
        <w:rPr>
          <w:rFonts w:asciiTheme="minorHAnsi" w:hAnsiTheme="minorHAnsi" w:cstheme="minorHAnsi"/>
          <w:sz w:val="22"/>
          <w:szCs w:val="22"/>
        </w:rPr>
        <w:t>o</w:t>
      </w:r>
      <w:r w:rsidR="00C67134">
        <w:rPr>
          <w:rFonts w:asciiTheme="minorHAnsi" w:hAnsiTheme="minorHAnsi" w:cstheme="minorHAnsi"/>
          <w:sz w:val="22"/>
          <w:szCs w:val="22"/>
        </w:rPr>
        <w:t xml:space="preserve"> para el Diésel</w:t>
      </w:r>
      <w:r w:rsidR="0023355E">
        <w:rPr>
          <w:rFonts w:asciiTheme="minorHAnsi" w:hAnsiTheme="minorHAnsi" w:cstheme="minorHAnsi"/>
          <w:sz w:val="22"/>
          <w:szCs w:val="22"/>
        </w:rPr>
        <w:t xml:space="preserve">, el cual es de </w:t>
      </w:r>
      <w:r w:rsidRPr="002B3648">
        <w:rPr>
          <w:rFonts w:asciiTheme="minorHAnsi" w:hAnsiTheme="minorHAnsi" w:cstheme="minorHAnsi"/>
          <w:sz w:val="22"/>
          <w:szCs w:val="22"/>
        </w:rPr>
        <w:t>0.</w:t>
      </w:r>
      <w:r>
        <w:rPr>
          <w:rFonts w:asciiTheme="minorHAnsi" w:hAnsiTheme="minorHAnsi" w:cstheme="minorHAnsi"/>
          <w:sz w:val="22"/>
          <w:szCs w:val="22"/>
        </w:rPr>
        <w:t>37</w:t>
      </w:r>
      <w:r w:rsidRPr="002B3648">
        <w:rPr>
          <w:rFonts w:asciiTheme="minorHAnsi" w:hAnsiTheme="minorHAnsi" w:cstheme="minorHAnsi"/>
          <w:sz w:val="22"/>
          <w:szCs w:val="22"/>
        </w:rPr>
        <w:t xml:space="preserve"> US$/Bl.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4"/>
          <w:footerReference w:type="default" r:id="rId15"/>
          <w:headerReference w:type="first" r:id="rId16"/>
          <w:footerReference w:type="first" r:id="rId17"/>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22D94097" w:rsidR="004F74EE" w:rsidRPr="004F74EE" w:rsidRDefault="00F27BD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N°2</w:t>
      </w:r>
    </w:p>
    <w:p w14:paraId="11B5876E" w14:textId="613B9C25" w:rsidR="004F74EE" w:rsidRDefault="006D4BA0" w:rsidP="004F74EE">
      <w:pPr>
        <w:pBdr>
          <w:top w:val="single" w:sz="4" w:space="1" w:color="auto"/>
          <w:bottom w:val="single" w:sz="4" w:space="1" w:color="auto"/>
        </w:pBdr>
        <w:jc w:val="center"/>
        <w:rPr>
          <w:rFonts w:ascii="Calibri" w:hAnsi="Calibri" w:cs="Calibri"/>
          <w:sz w:val="22"/>
          <w:szCs w:val="22"/>
          <w:lang w:val="es-PE" w:eastAsia="en-US"/>
        </w:rPr>
      </w:pPr>
      <w:r w:rsidRPr="006D4BA0">
        <w:rPr>
          <w:noProof/>
          <w:lang w:val="en-US" w:eastAsia="en-US"/>
        </w:rPr>
        <w:drawing>
          <wp:inline distT="0" distB="0" distL="0" distR="0" wp14:anchorId="68612BAC" wp14:editId="3B8B75DA">
            <wp:extent cx="8173085" cy="30416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73553" cy="3041824"/>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Cetano (40 en el Mercado Internacional, según especificaciones del Colonial Pipeline y 45 en el Mercado Local) es igual a 0.37 US$/Bl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1CAF2CE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121D4161" w:rsidR="000A6BC2" w:rsidRPr="00737F8F" w:rsidRDefault="006D4BA0"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6D4BA0">
        <w:rPr>
          <w:noProof/>
          <w:lang w:val="en-US" w:eastAsia="en-US"/>
        </w:rPr>
        <w:drawing>
          <wp:inline distT="0" distB="0" distL="0" distR="0" wp14:anchorId="629F18F7" wp14:editId="62C85B9C">
            <wp:extent cx="5600700" cy="24244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00700" cy="242443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F2F843F" w:rsidR="001F2B99" w:rsidRDefault="00F27BD1"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Nº4</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628ABA7C" w:rsidR="005C4A97" w:rsidRDefault="00F74CEB" w:rsidP="008360C7">
      <w:pPr>
        <w:spacing w:line="0" w:lineRule="atLeast"/>
        <w:ind w:left="284" w:right="-567"/>
        <w:jc w:val="both"/>
        <w:rPr>
          <w:rFonts w:asciiTheme="minorHAnsi" w:hAnsiTheme="minorHAnsi" w:cstheme="minorHAnsi"/>
          <w:i/>
          <w:sz w:val="18"/>
          <w:szCs w:val="18"/>
        </w:rPr>
      </w:pPr>
      <w:r w:rsidRPr="00F74CEB">
        <w:drawing>
          <wp:inline distT="0" distB="0" distL="0" distR="0" wp14:anchorId="3198A352" wp14:editId="0275FE6F">
            <wp:extent cx="6091555" cy="2060448"/>
            <wp:effectExtent l="0" t="0" r="444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832" cy="2071704"/>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Pr>
          <w:rFonts w:asciiTheme="minorHAnsi" w:hAnsiTheme="minorHAnsi" w:cstheme="minorHAnsi"/>
          <w:b/>
          <w:i/>
          <w:sz w:val="18"/>
          <w:szCs w:val="18"/>
        </w:rPr>
        <w:lastRenderedPageBreak/>
        <w:t>GRAFICA Nº5</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288832FF" w14:textId="434842FB" w:rsidR="007B04A3" w:rsidRDefault="00A50FA5" w:rsidP="00E87904">
      <w:pPr>
        <w:ind w:left="-284"/>
        <w:rPr>
          <w:rFonts w:asciiTheme="minorHAnsi" w:hAnsiTheme="minorHAnsi" w:cstheme="minorHAnsi"/>
          <w:i/>
          <w:sz w:val="18"/>
          <w:szCs w:val="18"/>
        </w:rPr>
      </w:pPr>
      <w:r w:rsidRPr="00A50FA5">
        <w:rPr>
          <w:noProof/>
          <w:lang w:val="en-US" w:eastAsia="en-US"/>
        </w:rPr>
        <w:drawing>
          <wp:inline distT="0" distB="0" distL="0" distR="0" wp14:anchorId="463E79A4" wp14:editId="03967899">
            <wp:extent cx="6424295" cy="6858000"/>
            <wp:effectExtent l="0" t="0" r="0" b="0"/>
            <wp:docPr id="18" name="Picture 1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10;&#10;Description automatically generated"/>
                    <pic:cNvPicPr/>
                  </pic:nvPicPr>
                  <pic:blipFill>
                    <a:blip r:embed="rId22"/>
                    <a:stretch>
                      <a:fillRect/>
                    </a:stretch>
                  </pic:blipFill>
                  <pic:spPr>
                    <a:xfrm>
                      <a:off x="0" y="0"/>
                      <a:ext cx="6436778" cy="6871326"/>
                    </a:xfrm>
                    <a:prstGeom prst="rect">
                      <a:avLst/>
                    </a:prstGeom>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3C773CC4" w:rsidR="00496869" w:rsidRDefault="00F27BD1" w:rsidP="00496869">
      <w:pPr>
        <w:jc w:val="both"/>
        <w:rPr>
          <w:rFonts w:ascii="Calibri" w:hAnsi="Calibri" w:cs="Arial"/>
          <w:b/>
          <w:bCs/>
          <w:i/>
          <w:sz w:val="20"/>
          <w:szCs w:val="20"/>
          <w:lang w:eastAsia="es-PE"/>
        </w:rPr>
      </w:pPr>
      <w:r>
        <w:rPr>
          <w:rFonts w:asciiTheme="minorHAnsi" w:hAnsiTheme="minorHAnsi" w:cstheme="minorHAnsi"/>
          <w:b/>
          <w:i/>
          <w:sz w:val="18"/>
          <w:szCs w:val="18"/>
        </w:rPr>
        <w:t>GRAFICA Nº6</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n-US" w:eastAsia="en-US"/>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5E1BD019" w:rsidR="00496869" w:rsidRDefault="00496869" w:rsidP="00496869">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6C0B4039" w14:textId="49ADBFAB" w:rsidR="00214BFB" w:rsidRDefault="00214BFB" w:rsidP="00496869">
      <w:pPr>
        <w:pStyle w:val="xl37"/>
        <w:tabs>
          <w:tab w:val="left" w:pos="180"/>
        </w:tabs>
        <w:spacing w:before="0" w:beforeAutospacing="0" w:after="0" w:afterAutospacing="0"/>
        <w:rPr>
          <w:rFonts w:ascii="Calibri" w:eastAsia="Calibri" w:hAnsi="Calibri"/>
          <w:i/>
          <w:iCs/>
          <w:sz w:val="18"/>
          <w:szCs w:val="18"/>
        </w:rPr>
      </w:pPr>
    </w:p>
    <w:p w14:paraId="299EEE93" w14:textId="5CD132E4" w:rsidR="00214BFB" w:rsidRDefault="00214BFB">
      <w:pPr>
        <w:rPr>
          <w:rFonts w:ascii="Calibri" w:eastAsia="Calibri" w:hAnsi="Calibri" w:cs="Arial"/>
          <w:b/>
          <w:bCs/>
          <w:i/>
          <w:iCs/>
          <w:sz w:val="18"/>
          <w:szCs w:val="18"/>
        </w:rPr>
      </w:pPr>
      <w:r>
        <w:rPr>
          <w:rFonts w:ascii="Calibri" w:eastAsia="Calibri" w:hAnsi="Calibri"/>
          <w:i/>
          <w:iCs/>
          <w:sz w:val="18"/>
          <w:szCs w:val="18"/>
        </w:rPr>
        <w:br w:type="page"/>
      </w:r>
    </w:p>
    <w:p w14:paraId="59B0E35C" w14:textId="5F429CE4" w:rsidR="00214BFB" w:rsidRPr="00496869" w:rsidRDefault="00214BFB"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N°2</w:t>
      </w:r>
      <w:r w:rsidR="009D445C">
        <w:rPr>
          <w:rStyle w:val="Refdenotaalpie"/>
          <w:rFonts w:asciiTheme="minorHAnsi" w:eastAsia="Times New Roman" w:hAnsiTheme="minorHAnsi" w:cstheme="minorHAnsi"/>
          <w:bCs w:val="0"/>
          <w:iCs/>
          <w:sz w:val="24"/>
          <w:szCs w:val="24"/>
          <w:u w:val="single"/>
        </w:rPr>
        <w:footnoteReference w:id="4"/>
      </w:r>
    </w:p>
    <w:p w14:paraId="158999A5" w14:textId="77777777" w:rsidR="00214BFB" w:rsidRDefault="00214BFB" w:rsidP="00214BFB">
      <w:pPr>
        <w:jc w:val="both"/>
        <w:rPr>
          <w:rFonts w:asciiTheme="minorHAnsi" w:hAnsiTheme="minorHAnsi" w:cstheme="minorHAnsi"/>
          <w:sz w:val="22"/>
          <w:szCs w:val="22"/>
        </w:rPr>
      </w:pPr>
    </w:p>
    <w:p w14:paraId="2CD8C96C" w14:textId="10372E43" w:rsidR="00214BFB" w:rsidRDefault="00344112" w:rsidP="00214BFB">
      <w:pPr>
        <w:jc w:val="center"/>
        <w:rPr>
          <w:rFonts w:asciiTheme="minorHAnsi" w:hAnsiTheme="minorHAnsi" w:cstheme="minorHAnsi"/>
          <w:sz w:val="22"/>
          <w:szCs w:val="22"/>
        </w:rPr>
      </w:pPr>
      <w:r>
        <w:rPr>
          <w:rFonts w:asciiTheme="minorHAnsi" w:hAnsiTheme="minorHAnsi" w:cstheme="minorHAnsi"/>
          <w:noProof/>
          <w:sz w:val="22"/>
          <w:szCs w:val="22"/>
          <w:lang w:val="en-US" w:eastAsia="en-US"/>
        </w:rPr>
        <w:drawing>
          <wp:inline distT="0" distB="0" distL="0" distR="0" wp14:anchorId="4B611EE0" wp14:editId="47A1EA91">
            <wp:extent cx="4636988" cy="2476500"/>
            <wp:effectExtent l="19050" t="19050" r="11430" b="190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52040" cy="2484539"/>
                    </a:xfrm>
                    <a:prstGeom prst="rect">
                      <a:avLst/>
                    </a:prstGeom>
                    <a:noFill/>
                    <a:ln>
                      <a:solidFill>
                        <a:schemeClr val="accent1"/>
                      </a:solidFill>
                    </a:ln>
                  </pic:spPr>
                </pic:pic>
              </a:graphicData>
            </a:graphic>
          </wp:inline>
        </w:drawing>
      </w:r>
    </w:p>
    <w:p w14:paraId="60CAAFB3" w14:textId="77777777" w:rsidR="009D445C" w:rsidRDefault="009D445C" w:rsidP="00214BFB">
      <w:pPr>
        <w:jc w:val="center"/>
        <w:rPr>
          <w:rFonts w:asciiTheme="minorHAnsi" w:hAnsiTheme="minorHAnsi" w:cstheme="minorHAnsi"/>
          <w:sz w:val="22"/>
          <w:szCs w:val="22"/>
        </w:rPr>
      </w:pPr>
    </w:p>
    <w:p w14:paraId="13B4047C" w14:textId="1BEF6337" w:rsidR="00214BFB" w:rsidRPr="00D16EC8" w:rsidRDefault="009A6BA8" w:rsidP="00214BFB">
      <w:pPr>
        <w:jc w:val="center"/>
        <w:rPr>
          <w:rFonts w:asciiTheme="minorHAnsi" w:hAnsiTheme="minorHAnsi" w:cstheme="minorHAnsi"/>
          <w:sz w:val="22"/>
          <w:szCs w:val="22"/>
        </w:rPr>
      </w:pPr>
      <w:r>
        <w:rPr>
          <w:rFonts w:asciiTheme="minorHAnsi" w:hAnsiTheme="minorHAnsi" w:cstheme="minorHAnsi"/>
          <w:noProof/>
          <w:sz w:val="22"/>
          <w:szCs w:val="22"/>
          <w:lang w:val="en-US" w:eastAsia="en-US"/>
        </w:rPr>
        <w:drawing>
          <wp:inline distT="0" distB="0" distL="0" distR="0" wp14:anchorId="50DC544E" wp14:editId="32A6277F">
            <wp:extent cx="4614398" cy="2464435"/>
            <wp:effectExtent l="19050" t="19050" r="15240" b="1206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35687" cy="2475805"/>
                    </a:xfrm>
                    <a:prstGeom prst="rect">
                      <a:avLst/>
                    </a:prstGeom>
                    <a:noFill/>
                    <a:ln>
                      <a:solidFill>
                        <a:schemeClr val="accent1"/>
                      </a:solidFill>
                    </a:ln>
                  </pic:spPr>
                </pic:pic>
              </a:graphicData>
            </a:graphic>
          </wp:inline>
        </w:drawing>
      </w:r>
    </w:p>
    <w:p w14:paraId="7C1CD120" w14:textId="77777777" w:rsidR="00214BFB" w:rsidRDefault="00214BFB" w:rsidP="00214BFB">
      <w:pPr>
        <w:ind w:left="720"/>
        <w:jc w:val="both"/>
        <w:rPr>
          <w:rFonts w:asciiTheme="minorHAnsi" w:hAnsiTheme="minorHAnsi" w:cstheme="minorHAnsi"/>
          <w:sz w:val="22"/>
          <w:szCs w:val="22"/>
        </w:rPr>
      </w:pPr>
    </w:p>
    <w:p w14:paraId="34FAC901" w14:textId="1DA9A147" w:rsidR="009D445C" w:rsidRPr="002B3648" w:rsidRDefault="009A6BA8" w:rsidP="000423EB">
      <w:pPr>
        <w:ind w:left="993"/>
        <w:jc w:val="both"/>
        <w:rPr>
          <w:rFonts w:asciiTheme="minorHAnsi" w:hAnsiTheme="minorHAnsi" w:cstheme="minorHAnsi"/>
          <w:b/>
          <w:bCs/>
          <w:i/>
          <w:iCs/>
          <w:sz w:val="16"/>
          <w:szCs w:val="16"/>
        </w:rPr>
      </w:pPr>
      <w:r>
        <w:rPr>
          <w:rFonts w:asciiTheme="minorHAnsi" w:hAnsiTheme="minorHAnsi" w:cstheme="minorHAnsi"/>
          <w:b/>
          <w:bCs/>
          <w:i/>
          <w:iCs/>
          <w:noProof/>
          <w:sz w:val="16"/>
          <w:szCs w:val="16"/>
          <w:lang w:val="en-US" w:eastAsia="en-US"/>
        </w:rPr>
        <w:drawing>
          <wp:inline distT="0" distB="0" distL="0" distR="0" wp14:anchorId="24519067" wp14:editId="58854C8E">
            <wp:extent cx="4568190" cy="2439757"/>
            <wp:effectExtent l="19050" t="19050" r="22860" b="177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3471" cy="2447918"/>
                    </a:xfrm>
                    <a:prstGeom prst="rect">
                      <a:avLst/>
                    </a:prstGeom>
                    <a:noFill/>
                    <a:ln>
                      <a:solidFill>
                        <a:schemeClr val="accent1"/>
                      </a:solidFill>
                    </a:ln>
                  </pic:spPr>
                </pic:pic>
              </a:graphicData>
            </a:graphic>
          </wp:inline>
        </w:drawing>
      </w:r>
    </w:p>
    <w:sectPr w:rsidR="009D445C" w:rsidRPr="002B3648" w:rsidSect="00DB3C4F">
      <w:headerReference w:type="default" r:id="rId31"/>
      <w:footerReference w:type="default" r:id="rId32"/>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729DF" w14:textId="77777777" w:rsidR="00CA1D26" w:rsidRDefault="00CA1D26" w:rsidP="006502B5">
      <w:r>
        <w:separator/>
      </w:r>
    </w:p>
  </w:endnote>
  <w:endnote w:type="continuationSeparator" w:id="0">
    <w:p w14:paraId="29493985" w14:textId="77777777" w:rsidR="00CA1D26" w:rsidRDefault="00CA1D26"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n-US" w:eastAsia="en-US"/>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n-US" w:eastAsia="en-US"/>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n-US" w:eastAsia="en-US"/>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n-US" w:eastAsia="en-US"/>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r w:rsidRPr="005D70E5">
      <w:rPr>
        <w:rFonts w:ascii="Arial Narrow" w:hAnsi="Arial Narrow" w:cs="Arial"/>
        <w:i/>
        <w:sz w:val="16"/>
        <w:szCs w:val="16"/>
        <w:lang w:val="en-US"/>
      </w:rPr>
      <w:t>Elaborado por: World Products Trading S.A.C.</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A2524" w14:textId="77777777" w:rsidR="00CA1D26" w:rsidRDefault="00CA1D26" w:rsidP="006502B5">
      <w:r>
        <w:separator/>
      </w:r>
    </w:p>
  </w:footnote>
  <w:footnote w:type="continuationSeparator" w:id="0">
    <w:p w14:paraId="2894C9C1" w14:textId="77777777" w:rsidR="00CA1D26" w:rsidRDefault="00CA1D26" w:rsidP="006502B5">
      <w:r>
        <w:continuationSeparator/>
      </w:r>
    </w:p>
  </w:footnote>
  <w:footnote w:id="1">
    <w:p w14:paraId="1D2E7556" w14:textId="77777777" w:rsidR="00494331" w:rsidRPr="003D59FF" w:rsidRDefault="00494331" w:rsidP="00EA7960">
      <w:pPr>
        <w:pStyle w:val="Textonotapie"/>
        <w:spacing w:before="0" w:after="0" w:line="0" w:lineRule="atLeast"/>
        <w:rPr>
          <w:rFonts w:asciiTheme="minorHAnsi" w:hAnsiTheme="minorHAnsi" w:cstheme="minorHAnsi"/>
          <w:i/>
          <w:sz w:val="16"/>
          <w:szCs w:val="16"/>
          <w:lang w:val="en-US"/>
        </w:rPr>
      </w:pPr>
      <w:r w:rsidRPr="003F61E5">
        <w:rPr>
          <w:vertAlign w:val="superscript"/>
        </w:rPr>
        <w:footnoteRef/>
      </w:r>
      <w:r w:rsidR="007A7847" w:rsidRPr="003D59FF">
        <w:rPr>
          <w:rFonts w:asciiTheme="minorHAnsi" w:hAnsiTheme="minorHAnsi" w:cstheme="minorHAnsi"/>
          <w:i/>
          <w:sz w:val="16"/>
          <w:szCs w:val="16"/>
          <w:lang w:val="en-US"/>
        </w:rPr>
        <w:t>Fuentes: EIA</w:t>
      </w:r>
      <w:r w:rsidRPr="003D59FF">
        <w:rPr>
          <w:rFonts w:asciiTheme="minorHAnsi" w:hAnsiTheme="minorHAnsi" w:cstheme="minorHAnsi"/>
          <w:i/>
          <w:sz w:val="16"/>
          <w:szCs w:val="16"/>
          <w:lang w:val="en-US"/>
        </w:rPr>
        <w:t>, Reuters</w:t>
      </w:r>
      <w:r w:rsidR="00D22304" w:rsidRPr="003D59FF">
        <w:rPr>
          <w:rFonts w:asciiTheme="minorHAnsi" w:hAnsiTheme="minorHAnsi" w:cstheme="minorHAnsi"/>
          <w:i/>
          <w:sz w:val="16"/>
          <w:szCs w:val="16"/>
          <w:lang w:val="en-US"/>
        </w:rPr>
        <w:t>,</w:t>
      </w:r>
      <w:r w:rsidR="00BC79DF" w:rsidRPr="003D59FF">
        <w:rPr>
          <w:rFonts w:asciiTheme="minorHAnsi" w:hAnsiTheme="minorHAnsi" w:cstheme="minorHAnsi"/>
          <w:i/>
          <w:sz w:val="16"/>
          <w:szCs w:val="16"/>
          <w:lang w:val="en-US"/>
        </w:rPr>
        <w:t xml:space="preserve"> otros.</w:t>
      </w:r>
    </w:p>
  </w:footnote>
  <w:footnote w:id="2">
    <w:p w14:paraId="18128E81" w14:textId="07323489" w:rsidR="000E16A0" w:rsidRPr="00EA7960" w:rsidRDefault="000E16A0" w:rsidP="00EA7960">
      <w:pPr>
        <w:pStyle w:val="Textonotapie"/>
        <w:spacing w:before="0" w:after="0" w:line="0" w:lineRule="atLeast"/>
        <w:rPr>
          <w:rFonts w:asciiTheme="minorHAnsi" w:hAnsiTheme="minorHAnsi" w:cstheme="minorHAnsi"/>
          <w:lang w:val="en-US"/>
        </w:rPr>
      </w:pPr>
      <w:r w:rsidRPr="00EA7960">
        <w:rPr>
          <w:rStyle w:val="Refdenotaalpie"/>
          <w:rFonts w:asciiTheme="minorHAnsi" w:hAnsiTheme="minorHAnsi" w:cstheme="minorHAnsi"/>
        </w:rPr>
        <w:footnoteRef/>
      </w:r>
      <w:r w:rsidRPr="00EA7960">
        <w:rPr>
          <w:rFonts w:asciiTheme="minorHAnsi" w:hAnsiTheme="minorHAnsi" w:cstheme="minorHAnsi"/>
          <w:lang w:val="en-US"/>
        </w:rPr>
        <w:t xml:space="preserve"> </w:t>
      </w:r>
      <w:r w:rsidR="00F608D1" w:rsidRPr="00EA7960">
        <w:rPr>
          <w:rFonts w:asciiTheme="minorHAnsi" w:hAnsiTheme="minorHAnsi" w:cstheme="minorHAnsi"/>
          <w:bCs/>
          <w:i/>
          <w:sz w:val="16"/>
          <w:szCs w:val="16"/>
          <w:lang w:val="en-US"/>
        </w:rPr>
        <w:t>Conventional Blendstock for Oxygenate Blending.</w:t>
      </w:r>
    </w:p>
  </w:footnote>
  <w:footnote w:id="3">
    <w:p w14:paraId="145FEDCF" w14:textId="77777777" w:rsidR="00A611A5" w:rsidRPr="00536554" w:rsidRDefault="00A611A5" w:rsidP="00A611A5">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Pr>
          <w:i/>
          <w:sz w:val="16"/>
          <w:szCs w:val="16"/>
        </w:rPr>
        <w:t>que resulta de dividir el precio de cada producto</w:t>
      </w:r>
      <w:r w:rsidRPr="00536554">
        <w:rPr>
          <w:i/>
          <w:sz w:val="16"/>
          <w:szCs w:val="16"/>
        </w:rPr>
        <w:t xml:space="preserve"> de la Costa del Golfo, entre el precio del petróleo crudo WTI.</w:t>
      </w:r>
    </w:p>
  </w:footnote>
  <w:footnote w:id="4">
    <w:p w14:paraId="1989B684" w14:textId="6A457B7C"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182F1" w14:textId="2C4057B4" w:rsidR="00FF1622" w:rsidRPr="002E3C90" w:rsidRDefault="00FF1622" w:rsidP="00FF1622">
    <w:pPr>
      <w:pStyle w:val="Encabezado"/>
      <w:tabs>
        <w:tab w:val="clear" w:pos="8838"/>
        <w:tab w:val="right" w:pos="8646"/>
      </w:tabs>
      <w:ind w:left="-1418"/>
    </w:pPr>
    <w:bookmarkStart w:id="1" w:name="_Hlk68946101"/>
    <w:bookmarkStart w:id="2" w:name="_Hlk68946102"/>
    <w:r>
      <w:rPr>
        <w:noProof/>
        <w:lang w:val="es-PE" w:eastAsia="es-PE"/>
      </w:rPr>
      <w:t xml:space="preserve">        </w:t>
    </w:r>
    <w:r w:rsidRPr="0087334C">
      <w:rPr>
        <w:noProof/>
        <w:lang w:val="en-US" w:eastAsia="en-US"/>
      </w:rPr>
      <w:drawing>
        <wp:inline distT="0" distB="0" distL="0" distR="0" wp14:anchorId="19C91153" wp14:editId="51AA525A">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Pr="005D70E5">
      <w:rPr>
        <w:noProof/>
        <w:lang w:val="en-US" w:eastAsia="en-US"/>
      </w:rPr>
      <w:drawing>
        <wp:inline distT="0" distB="0" distL="0" distR="0" wp14:anchorId="0E261F30" wp14:editId="67873BC4">
          <wp:extent cx="903605" cy="654627"/>
          <wp:effectExtent l="0" t="0" r="0" b="0"/>
          <wp:docPr id="1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75ABDF21" w14:textId="2B26A27C" w:rsidR="004F74EE" w:rsidRPr="002D26F8" w:rsidRDefault="003109CE" w:rsidP="00376371">
    <w:pPr>
      <w:tabs>
        <w:tab w:val="center" w:pos="4320"/>
        <w:tab w:val="right" w:pos="8640"/>
      </w:tabs>
      <w:ind w:right="-284"/>
      <w:jc w:val="right"/>
      <w:rPr>
        <w:rFonts w:ascii="Arial" w:hAnsi="Arial" w:cs="Arial"/>
        <w:b/>
        <w:color w:val="44546A"/>
        <w:sz w:val="22"/>
        <w:szCs w:val="22"/>
        <w:lang w:val="x-none"/>
      </w:rPr>
    </w:pPr>
    <w:r>
      <w:rPr>
        <w:rFonts w:ascii="Arial" w:hAnsi="Arial" w:cs="Arial"/>
        <w:b/>
        <w:color w:val="44546A"/>
        <w:sz w:val="22"/>
        <w:szCs w:val="22"/>
        <w:lang w:val="es-MX"/>
      </w:rPr>
      <w:t>00</w:t>
    </w:r>
    <w:r w:rsidR="004F74EE" w:rsidRPr="002D26F8">
      <w:rPr>
        <w:rFonts w:ascii="Arial" w:hAnsi="Arial" w:cs="Arial"/>
        <w:b/>
        <w:color w:val="44546A"/>
        <w:sz w:val="22"/>
        <w:szCs w:val="22"/>
        <w:lang w:val="x-none"/>
      </w:rPr>
      <w:fldChar w:fldCharType="begin"/>
    </w:r>
    <w:r w:rsidR="004F74EE" w:rsidRPr="002D26F8">
      <w:rPr>
        <w:rFonts w:ascii="Arial" w:hAnsi="Arial" w:cs="Arial"/>
        <w:b/>
        <w:color w:val="44546A"/>
        <w:sz w:val="22"/>
        <w:szCs w:val="22"/>
        <w:lang w:val="x-none"/>
      </w:rPr>
      <w:instrText>PAGE   \* MERGEFORMAT</w:instrText>
    </w:r>
    <w:r w:rsidR="004F74EE" w:rsidRPr="002D26F8">
      <w:rPr>
        <w:rFonts w:ascii="Arial" w:hAnsi="Arial" w:cs="Arial"/>
        <w:b/>
        <w:color w:val="44546A"/>
        <w:sz w:val="22"/>
        <w:szCs w:val="22"/>
        <w:lang w:val="x-none"/>
      </w:rPr>
      <w:fldChar w:fldCharType="separate"/>
    </w:r>
    <w:r w:rsidR="00FA7F50">
      <w:rPr>
        <w:rFonts w:ascii="Arial" w:hAnsi="Arial" w:cs="Arial"/>
        <w:b/>
        <w:noProof/>
        <w:color w:val="44546A"/>
        <w:sz w:val="22"/>
        <w:szCs w:val="22"/>
        <w:lang w:val="x-none"/>
      </w:rPr>
      <w:t>4</w:t>
    </w:r>
    <w:r w:rsidR="004F74EE"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bookmarkEnd w:id="1"/>
  <w:bookmarkEnd w:id="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n-US" w:eastAsia="en-US"/>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n-US" w:eastAsia="en-US"/>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n-US" w:eastAsia="en-US"/>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n-US" w:eastAsia="en-US"/>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17DBC43A"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FA7F50">
      <w:rPr>
        <w:rFonts w:ascii="Arial" w:hAnsi="Arial" w:cs="Arial"/>
        <w:b/>
        <w:noProof/>
        <w:color w:val="1F497D"/>
        <w:lang w:val="en-US"/>
      </w:rPr>
      <w:t>11</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5"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DA6E5F"/>
    <w:multiLevelType w:val="hybridMultilevel"/>
    <w:tmpl w:val="1786F364"/>
    <w:lvl w:ilvl="0" w:tplc="280A0001">
      <w:start w:val="1"/>
      <w:numFmt w:val="bullet"/>
      <w:lvlText w:val=""/>
      <w:lvlJc w:val="left"/>
      <w:pPr>
        <w:ind w:left="1353" w:hanging="360"/>
      </w:pPr>
      <w:rPr>
        <w:rFonts w:ascii="Symbol" w:hAnsi="Symbol" w:hint="default"/>
      </w:rPr>
    </w:lvl>
    <w:lvl w:ilvl="1" w:tplc="280A0003" w:tentative="1">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7"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7"/>
  </w:num>
  <w:num w:numId="6">
    <w:abstractNumId w:val="15"/>
  </w:num>
  <w:num w:numId="7">
    <w:abstractNumId w:val="14"/>
  </w:num>
  <w:num w:numId="8">
    <w:abstractNumId w:val="5"/>
  </w:num>
  <w:num w:numId="9">
    <w:abstractNumId w:val="17"/>
  </w:num>
  <w:num w:numId="10">
    <w:abstractNumId w:val="26"/>
  </w:num>
  <w:num w:numId="11">
    <w:abstractNumId w:val="29"/>
  </w:num>
  <w:num w:numId="12">
    <w:abstractNumId w:val="7"/>
  </w:num>
  <w:num w:numId="13">
    <w:abstractNumId w:val="29"/>
  </w:num>
  <w:num w:numId="14">
    <w:abstractNumId w:val="7"/>
  </w:num>
  <w:num w:numId="15">
    <w:abstractNumId w:val="9"/>
  </w:num>
  <w:num w:numId="16">
    <w:abstractNumId w:val="8"/>
  </w:num>
  <w:num w:numId="17">
    <w:abstractNumId w:val="2"/>
  </w:num>
  <w:num w:numId="18">
    <w:abstractNumId w:val="10"/>
  </w:num>
  <w:num w:numId="19">
    <w:abstractNumId w:val="18"/>
  </w:num>
  <w:num w:numId="20">
    <w:abstractNumId w:val="0"/>
  </w:num>
  <w:num w:numId="21">
    <w:abstractNumId w:val="24"/>
  </w:num>
  <w:num w:numId="22">
    <w:abstractNumId w:val="22"/>
  </w:num>
  <w:num w:numId="23">
    <w:abstractNumId w:val="23"/>
  </w:num>
  <w:num w:numId="24">
    <w:abstractNumId w:val="13"/>
  </w:num>
  <w:num w:numId="25">
    <w:abstractNumId w:val="25"/>
  </w:num>
  <w:num w:numId="26">
    <w:abstractNumId w:val="6"/>
  </w:num>
  <w:num w:numId="27">
    <w:abstractNumId w:val="21"/>
  </w:num>
  <w:num w:numId="28">
    <w:abstractNumId w:val="20"/>
  </w:num>
  <w:num w:numId="29">
    <w:abstractNumId w:val="19"/>
  </w:num>
  <w:num w:numId="30">
    <w:abstractNumId w:val="4"/>
  </w:num>
  <w:num w:numId="31">
    <w:abstractNumId w:val="28"/>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DD6"/>
    <w:rsid w:val="00031F23"/>
    <w:rsid w:val="00032365"/>
    <w:rsid w:val="0003240C"/>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608"/>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72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DDC"/>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0F"/>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DDF"/>
    <w:rsid w:val="00415104"/>
    <w:rsid w:val="00415238"/>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00"/>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9F2"/>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320"/>
    <w:rsid w:val="005A0620"/>
    <w:rsid w:val="005A063D"/>
    <w:rsid w:val="005A0658"/>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3F6"/>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269"/>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1F61"/>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10.emf"/><Relationship Id="rId26"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5" Type="http://schemas.openxmlformats.org/officeDocument/2006/relationships/diagramQuickStyle" Target="diagrams/quickStyle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12.e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diagramLayout" Target="diagrams/layout1.xm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diagramData" Target="diagrams/data1.xml"/><Relationship Id="rId28" Type="http://schemas.openxmlformats.org/officeDocument/2006/relationships/image" Target="media/image15.png"/><Relationship Id="rId10" Type="http://schemas.openxmlformats.org/officeDocument/2006/relationships/image" Target="media/image1.emf"/><Relationship Id="rId19" Type="http://schemas.openxmlformats.org/officeDocument/2006/relationships/footer" Target="footer3.xm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peruweek.pe/tag/glp/" TargetMode="External"/><Relationship Id="rId14" Type="http://schemas.openxmlformats.org/officeDocument/2006/relationships/header" Target="header1.xml"/><Relationship Id="rId22" Type="http://schemas.openxmlformats.org/officeDocument/2006/relationships/image" Target="media/image14.png"/><Relationship Id="rId27" Type="http://schemas.microsoft.com/office/2007/relationships/diagramDrawing" Target="diagrams/drawing1.xml"/><Relationship Id="rId30" Type="http://schemas.openxmlformats.org/officeDocument/2006/relationships/image" Target="media/image17.png"/><Relationship Id="rId8" Type="http://schemas.openxmlformats.org/officeDocument/2006/relationships/hyperlink" Target="https://elperuano.pe/NormasElperuano/2021/09/06/1988935-2/1988935-2.ht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2E097DB3-D996-432E-9312-429DF0BFA32A}" type="presOf" srcId="{4A960634-9FDC-4EBF-AF05-14E597F21D3F}" destId="{48168A22-E0F6-4888-A928-835C9CDACA43}" srcOrd="0" destOrd="0" presId="urn:microsoft.com/office/officeart/2005/8/layout/StepDownProcess"/>
    <dgm:cxn modelId="{5B1FCD79-8BB6-4F5A-B4F1-D4D24AE65724}" srcId="{1836D370-0B80-4507-B3F2-5AA2F9D449B3}" destId="{5FB7EC8F-3FC6-4CD2-9AFE-6F0D2CFA6CC1}" srcOrd="0" destOrd="0" parTransId="{EC98F3EC-853A-439A-AFB0-584A38C27524}" sibTransId="{C69B27F5-69BF-4581-8DD9-08D3DE890FFA}"/>
    <dgm:cxn modelId="{381CD55A-7D6E-4FAF-AF1E-28A67769DC78}" srcId="{5FB7EC8F-3FC6-4CD2-9AFE-6F0D2CFA6CC1}" destId="{4679E97E-7147-4945-9257-344D48953319}" srcOrd="0" destOrd="0" parTransId="{93E142E6-B3CD-45F8-BA82-56BCB6317403}" sibTransId="{8F575523-240B-4D62-9576-B7F231778031}"/>
    <dgm:cxn modelId="{4455E0CA-E516-432B-945E-5F17EB2C43E4}" srcId="{1836D370-0B80-4507-B3F2-5AA2F9D449B3}" destId="{31ED6F6B-1C4A-4E95-97DF-8FD35D7AF530}" srcOrd="6" destOrd="0" parTransId="{592351A6-5BC7-43E4-AA8F-57F30AC4DDE3}" sibTransId="{379EFA90-2DFD-44BC-A6C2-3B091645847D}"/>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84529B0F-70B0-49AA-BE92-4ECB9CC32245}" type="presOf" srcId="{435A3891-B53D-4A69-9C6A-8CB4CD29C6D9}" destId="{A8A195FC-7F2E-404E-A0AF-9E19DBCF92FE}" srcOrd="0" destOrd="5"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F14838E4-38D3-4E41-BFE1-976B650A113A}" type="presOf" srcId="{B734796D-9832-401A-BAEA-232EE978040C}" destId="{48168A22-E0F6-4888-A928-835C9CDACA43}" srcOrd="0" destOrd="1"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B23D6D43-EAC1-4D98-B109-B99D0590FBA3}" type="presOf" srcId="{0A602B11-7B2A-4431-B2B8-493FC09B6327}" destId="{BCE37606-56B5-4BAF-BD96-79F1D4867894}"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D5471566-3D6D-42EF-9D70-0AC4BBA89D14}" type="presOf" srcId="{DE79AE5E-05B8-4F5B-8899-1EDBF012D26E}" destId="{2CC0A42B-0C00-4A9F-B221-8B86745D3281}" srcOrd="0" destOrd="0" presId="urn:microsoft.com/office/officeart/2005/8/layout/StepDownProcess"/>
    <dgm:cxn modelId="{41ACDA2C-3161-417F-A59D-3DF60E665AC0}" srcId="{F9CE22E7-4848-48F3-9570-7E0677C8296E}" destId="{B734796D-9832-401A-BAEA-232EE978040C}" srcOrd="1" destOrd="0" parTransId="{E1BE369B-F7AF-4B2E-AE08-8102F770D989}" sibTransId="{5A398E43-DF1B-487A-9031-5265CE1A00C3}"/>
    <dgm:cxn modelId="{7D3B6D34-4151-444C-BBAA-C2587A482240}" srcId="{DE79AE5E-05B8-4F5B-8899-1EDBF012D26E}" destId="{2807FF37-8426-4C4B-851A-0A941941D3BE}" srcOrd="1" destOrd="0" parTransId="{B8D47459-0462-4DD6-A117-75F0DC66C833}" sibTransId="{95FE2C57-C232-4E6D-8A32-BAAB96913225}"/>
    <dgm:cxn modelId="{69C2DD11-7E81-434A-AFA7-E6017405C3CE}" type="presOf" srcId="{B5380C72-B374-44F9-A4CF-7E9A63A36944}" destId="{A8A195FC-7F2E-404E-A0AF-9E19DBCF92FE}"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D98FFDFD-6575-4E48-9772-C7D6FA944F77}" srcId="{0A602B11-7B2A-4431-B2B8-493FC09B6327}" destId="{1E956FB1-EB9C-4AC2-8C1F-231FDA1B6E5B}" srcOrd="2" destOrd="0" parTransId="{5DA1AF63-0C35-4D24-847D-0E25717DD1E4}" sibTransId="{289ABBFD-E9C0-402C-B65D-EF5446E5EE2A}"/>
    <dgm:cxn modelId="{90EDF137-BFCC-497A-8A0B-6B4D24C026A0}" type="presOf" srcId="{F9CE22E7-4848-48F3-9570-7E0677C8296E}" destId="{861F7A36-AFC1-4A9D-9AA6-32929BEB70F9}" srcOrd="0" destOrd="0" presId="urn:microsoft.com/office/officeart/2005/8/layout/StepDownProcess"/>
    <dgm:cxn modelId="{A16FEE67-A157-4D25-8869-8580597CEDAB}" srcId="{1836D370-0B80-4507-B3F2-5AA2F9D449B3}" destId="{DE79AE5E-05B8-4F5B-8899-1EDBF012D26E}" srcOrd="1" destOrd="0" parTransId="{BEF9A10D-7D32-4E73-83D1-6F5B878F114E}" sibTransId="{A5DAC4C4-9B1B-49E8-A4DC-32EAC0C9BAAB}"/>
    <dgm:cxn modelId="{8AF200EA-AD7F-4BE1-B8BF-EA00C5747336}" srcId="{0A602B11-7B2A-4431-B2B8-493FC09B6327}" destId="{A8D12583-15BD-446C-9EF9-F2D9F676AAF2}" srcOrd="1" destOrd="0" parTransId="{981AB6CF-1ADC-42BB-8F06-55B1961EAD33}" sibTransId="{497E5DD4-9030-49AD-BF43-FB86431CF9E4}"/>
    <dgm:cxn modelId="{3C0B1F27-EEF4-47C8-9D0E-8834CF3CAF5B}" type="presOf" srcId="{1836D370-0B80-4507-B3F2-5AA2F9D449B3}" destId="{0E232311-8297-4BC6-8301-F9E04DB61AA5}"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DA2C586C-98BF-4F7F-9250-55611B1F21F3}" srcId="{F9CE22E7-4848-48F3-9570-7E0677C8296E}" destId="{4A960634-9FDC-4EBF-AF05-14E597F21D3F}" srcOrd="0" destOrd="0" parTransId="{CA395E66-8005-4245-BC1E-E6BC34990A68}" sibTransId="{8E8FE0CF-D12C-4462-9875-88FC47E8F2F2}"/>
    <dgm:cxn modelId="{EC6F1954-1E96-4080-8663-D0E8B7EF3466}" type="presOf" srcId="{9910D7D0-0DD4-422E-A213-05157EEAFB3A}" destId="{FF1E3527-529A-4618-9549-E9376556B2F9}" srcOrd="0" destOrd="1"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C5956A46-3BA0-4269-86BB-4B0B79681A38}" srcId="{1836D370-0B80-4507-B3F2-5AA2F9D449B3}" destId="{10073484-EF4F-455D-98D7-37E3C9CF84CE}" srcOrd="2" destOrd="0" parTransId="{CE9B415C-1018-4333-89B6-A5490DC3A7A5}" sibTransId="{C8F25497-C75C-4D05-A48F-FEE8D65ECD85}"/>
    <dgm:cxn modelId="{DD1133A3-4435-42A6-B2D2-D87D19A0D5E3}" srcId="{1836D370-0B80-4507-B3F2-5AA2F9D449B3}" destId="{F9CE22E7-4848-48F3-9570-7E0677C8296E}" srcOrd="7" destOrd="0" parTransId="{6DEF8F49-97CA-4BE1-A1D3-96DB7DE7BC9C}" sibTransId="{101EB50F-52D6-464B-99E4-753C81570337}"/>
    <dgm:cxn modelId="{45FF3B21-5F77-43FE-901B-99B2EB2A4C14}" srcId="{1836D370-0B80-4507-B3F2-5AA2F9D449B3}" destId="{0A602B11-7B2A-4431-B2B8-493FC09B6327}" srcOrd="5" destOrd="0" parTransId="{5A838538-DAF3-40AE-8A04-D36065FD7C54}" sibTransId="{0E5088BB-A5FF-4191-AC6D-C61472E41447}"/>
    <dgm:cxn modelId="{5EADDA9F-30E2-4B64-B13B-E98CD9D2ED38}" type="presOf" srcId="{ECD8EFEB-CA2D-4E7D-BAB9-1DB0A10AB82D}" destId="{BB4FA63D-38B7-48D1-895E-D47F77C151CA}" srcOrd="0" destOrd="0" presId="urn:microsoft.com/office/officeart/2005/8/layout/StepDownProcess"/>
    <dgm:cxn modelId="{5B76CEE7-EB0C-4986-ABFB-141323272CB4}" type="presOf" srcId="{4679E97E-7147-4945-9257-344D48953319}" destId="{FF1E3527-529A-4618-9549-E9376556B2F9}" srcOrd="0" destOrd="0" presId="urn:microsoft.com/office/officeart/2005/8/layout/StepDownProcess"/>
    <dgm:cxn modelId="{4143FF2B-4A21-4576-8B5A-E48A1C36C5EB}" srcId="{1836D370-0B80-4507-B3F2-5AA2F9D449B3}" destId="{78D5C6B1-915A-4089-BCE9-4916F0E82655}" srcOrd="3" destOrd="0" parTransId="{6B0C32FD-5120-44F4-B37F-874E115E4DB7}" sibTransId="{2CD7B41A-242E-4800-BDE7-9F75EE9E7BD7}"/>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C991BEE5-7995-4F86-99F4-6AF171B90133}" srcId="{DE79AE5E-05B8-4F5B-8899-1EDBF012D26E}" destId="{62AD22EB-DFA5-48CB-A802-F04F8B0AC103}" srcOrd="2" destOrd="0" parTransId="{1747E574-7A86-4BCC-BF76-6D70346C28B9}" sibTransId="{E58A974A-E59E-4991-A4FB-1340E10E5243}"/>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CB6C3AE7-7294-4AD8-BFAC-9656A4A8EE21}" type="presOf" srcId="{80C85485-24DA-4EC6-AC64-A30D40BA50EA}" destId="{A8A195FC-7F2E-404E-A0AF-9E19DBCF92FE}" srcOrd="0" destOrd="4"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174DF058-61AE-46EF-B6A0-0DF3C48ECD41}" type="presOf" srcId="{62AD22EB-DFA5-48CB-A802-F04F8B0AC103}" destId="{BB4FA63D-38B7-48D1-895E-D47F77C151CA}" srcOrd="0" destOrd="2" presId="urn:microsoft.com/office/officeart/2005/8/layout/StepDownProcess"/>
    <dgm:cxn modelId="{D6A4729C-885D-4BF3-AB72-1FB938C08202}" type="presOf" srcId="{31ED6F6B-1C4A-4E95-97DF-8FD35D7AF530}" destId="{A4D3E9AE-0953-4198-94AC-DB9D09F3CF1C}" srcOrd="0" destOrd="0"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88D0C404-6768-4694-B59A-19CDA6C0F467}" type="presOf" srcId="{309B67B8-D7CC-4B09-8942-98B44EF472AF}" destId="{FF1E3527-529A-4618-9549-E9376556B2F9}" srcOrd="0" destOrd="3" presId="urn:microsoft.com/office/officeart/2005/8/layout/StepDownProcess"/>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86A-63FB-40B7-94C4-EA8548D7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Pages>
  <Words>1637</Words>
  <Characters>9334</Characters>
  <Application>Microsoft Office Word</Application>
  <DocSecurity>0</DocSecurity>
  <Lines>77</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12</cp:revision>
  <cp:lastPrinted>2021-09-16T20:28:00Z</cp:lastPrinted>
  <dcterms:created xsi:type="dcterms:W3CDTF">2021-09-14T21:08:00Z</dcterms:created>
  <dcterms:modified xsi:type="dcterms:W3CDTF">2021-09-16T20:30:00Z</dcterms:modified>
</cp:coreProperties>
</file>